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55475" w14:textId="0D7E0D9B" w:rsidR="009A0487" w:rsidRPr="00DF0BEE" w:rsidRDefault="007047D8">
      <w:pPr>
        <w:pStyle w:val="Title"/>
        <w:rPr>
          <w:rFonts w:ascii="Times New Roman" w:hAnsi="Times New Roman"/>
          <w:sz w:val="22"/>
          <w:szCs w:val="22"/>
        </w:rPr>
      </w:pPr>
      <w:r w:rsidRPr="00DF0BEE">
        <w:rPr>
          <w:rFonts w:ascii="Times New Roman" w:hAnsi="Times New Roman"/>
          <w:sz w:val="22"/>
          <w:szCs w:val="22"/>
        </w:rPr>
        <w:t xml:space="preserve">MATHEMATICS LEARNING DESIGN USING </w:t>
      </w:r>
      <w:proofErr w:type="spellStart"/>
      <w:r w:rsidRPr="00DF0BEE">
        <w:rPr>
          <w:rFonts w:ascii="Times New Roman" w:hAnsi="Times New Roman"/>
          <w:sz w:val="22"/>
          <w:szCs w:val="22"/>
        </w:rPr>
        <w:t>P</w:t>
      </w:r>
      <w:r w:rsidR="00375446" w:rsidRPr="00DF0BEE">
        <w:rPr>
          <w:rFonts w:ascii="Times New Roman" w:hAnsi="Times New Roman"/>
          <w:sz w:val="22"/>
          <w:szCs w:val="22"/>
        </w:rPr>
        <w:t>h</w:t>
      </w:r>
      <w:r w:rsidRPr="00DF0BEE">
        <w:rPr>
          <w:rFonts w:ascii="Times New Roman" w:hAnsi="Times New Roman"/>
          <w:sz w:val="22"/>
          <w:szCs w:val="22"/>
        </w:rPr>
        <w:t>ET</w:t>
      </w:r>
      <w:proofErr w:type="spellEnd"/>
      <w:r w:rsidRPr="00DF0BEE">
        <w:rPr>
          <w:rFonts w:ascii="Times New Roman" w:hAnsi="Times New Roman"/>
          <w:sz w:val="22"/>
          <w:szCs w:val="22"/>
        </w:rPr>
        <w:t xml:space="preserve"> INTERACTIVE SIMULATION TO SUPPORT STUDENTS MATHEMATICAL UNDERSTANDING</w:t>
      </w:r>
    </w:p>
    <w:p w14:paraId="30B617CC" w14:textId="6AFBBCE5" w:rsidR="009A0487" w:rsidRPr="00DF0BEE" w:rsidRDefault="007047D8">
      <w:pPr>
        <w:pStyle w:val="Authors"/>
        <w:rPr>
          <w:rFonts w:ascii="Times New Roman" w:hAnsi="Times New Roman"/>
        </w:rPr>
      </w:pPr>
      <w:proofErr w:type="spellStart"/>
      <w:r w:rsidRPr="00DF0BEE">
        <w:rPr>
          <w:rFonts w:ascii="Times New Roman" w:hAnsi="Times New Roman"/>
        </w:rPr>
        <w:t>Slamet</w:t>
      </w:r>
      <w:proofErr w:type="spellEnd"/>
      <w:r w:rsidRPr="00DF0BEE">
        <w:rPr>
          <w:rFonts w:ascii="Times New Roman" w:hAnsi="Times New Roman"/>
        </w:rPr>
        <w:t xml:space="preserve"> Arifin, </w:t>
      </w:r>
      <w:proofErr w:type="spellStart"/>
      <w:r w:rsidRPr="00DF0BEE">
        <w:rPr>
          <w:rFonts w:ascii="Times New Roman" w:hAnsi="Times New Roman"/>
        </w:rPr>
        <w:t>Febby</w:t>
      </w:r>
      <w:proofErr w:type="spellEnd"/>
      <w:r w:rsidRPr="00DF0BEE">
        <w:rPr>
          <w:rFonts w:ascii="Times New Roman" w:hAnsi="Times New Roman"/>
        </w:rPr>
        <w:t xml:space="preserve"> </w:t>
      </w:r>
      <w:proofErr w:type="spellStart"/>
      <w:r w:rsidRPr="00DF0BEE">
        <w:rPr>
          <w:rFonts w:ascii="Times New Roman" w:hAnsi="Times New Roman"/>
        </w:rPr>
        <w:t>Fajar</w:t>
      </w:r>
      <w:proofErr w:type="spellEnd"/>
      <w:r w:rsidRPr="00DF0BEE">
        <w:rPr>
          <w:rFonts w:ascii="Times New Roman" w:hAnsi="Times New Roman"/>
        </w:rPr>
        <w:t xml:space="preserve"> </w:t>
      </w:r>
      <w:proofErr w:type="spellStart"/>
      <w:r w:rsidRPr="00DF0BEE">
        <w:rPr>
          <w:rFonts w:ascii="Times New Roman" w:hAnsi="Times New Roman"/>
        </w:rPr>
        <w:t>Nugraha</w:t>
      </w:r>
      <w:proofErr w:type="spellEnd"/>
      <w:r w:rsidRPr="00DF0BEE">
        <w:rPr>
          <w:rFonts w:ascii="Times New Roman" w:hAnsi="Times New Roman"/>
        </w:rPr>
        <w:t xml:space="preserve">, Pajar </w:t>
      </w:r>
      <w:proofErr w:type="spellStart"/>
      <w:r w:rsidRPr="00DF0BEE">
        <w:rPr>
          <w:rFonts w:ascii="Times New Roman" w:hAnsi="Times New Roman"/>
        </w:rPr>
        <w:t>Anugerah</w:t>
      </w:r>
      <w:proofErr w:type="spellEnd"/>
      <w:r w:rsidRPr="00DF0BEE">
        <w:rPr>
          <w:rFonts w:ascii="Times New Roman" w:hAnsi="Times New Roman"/>
        </w:rPr>
        <w:t xml:space="preserve"> </w:t>
      </w:r>
      <w:proofErr w:type="spellStart"/>
      <w:r w:rsidRPr="00DF0BEE">
        <w:rPr>
          <w:rFonts w:ascii="Times New Roman" w:hAnsi="Times New Roman"/>
        </w:rPr>
        <w:t>Prasetyo</w:t>
      </w:r>
      <w:proofErr w:type="spellEnd"/>
    </w:p>
    <w:p w14:paraId="54BBBA5C" w14:textId="267D7C9C" w:rsidR="009A0487" w:rsidRPr="00DF0BEE" w:rsidRDefault="0066077A" w:rsidP="00006EA6">
      <w:pPr>
        <w:pStyle w:val="Addresses"/>
        <w:spacing w:after="0"/>
        <w:rPr>
          <w:rFonts w:ascii="Times New Roman" w:hAnsi="Times New Roman"/>
        </w:rPr>
      </w:pPr>
      <w:r w:rsidRPr="00DF0BEE">
        <w:rPr>
          <w:rFonts w:ascii="Times New Roman" w:hAnsi="Times New Roman"/>
        </w:rPr>
        <w:t xml:space="preserve">Universitas </w:t>
      </w:r>
      <w:proofErr w:type="spellStart"/>
      <w:r w:rsidRPr="00DF0BEE">
        <w:rPr>
          <w:rFonts w:ascii="Times New Roman" w:hAnsi="Times New Roman"/>
        </w:rPr>
        <w:t>Kuningan</w:t>
      </w:r>
      <w:proofErr w:type="spellEnd"/>
    </w:p>
    <w:p w14:paraId="40E93FAD" w14:textId="77777777" w:rsidR="00006EA6" w:rsidRPr="00DF0BEE" w:rsidRDefault="00006EA6">
      <w:pPr>
        <w:pStyle w:val="E-mail"/>
        <w:rPr>
          <w:rFonts w:ascii="Times New Roman" w:hAnsi="Times New Roman"/>
        </w:rPr>
      </w:pPr>
    </w:p>
    <w:p w14:paraId="4F3CAB09" w14:textId="33945EAF" w:rsidR="009A0487" w:rsidRPr="00DF0BEE" w:rsidRDefault="00893D25">
      <w:pPr>
        <w:pStyle w:val="E-mail"/>
        <w:rPr>
          <w:rFonts w:ascii="Times New Roman" w:hAnsi="Times New Roman"/>
        </w:rPr>
      </w:pPr>
      <w:hyperlink r:id="rId8" w:history="1">
        <w:r w:rsidR="0066077A" w:rsidRPr="00DF0BEE">
          <w:rPr>
            <w:rStyle w:val="Hyperlink"/>
            <w:rFonts w:ascii="Times New Roman" w:hAnsi="Times New Roman"/>
          </w:rPr>
          <w:t>slamet.arifin@uniku.ac.id</w:t>
        </w:r>
      </w:hyperlink>
      <w:r w:rsidR="0066077A" w:rsidRPr="00DF0BEE">
        <w:rPr>
          <w:rFonts w:ascii="Times New Roman" w:hAnsi="Times New Roman"/>
        </w:rPr>
        <w:t xml:space="preserve"> </w:t>
      </w:r>
    </w:p>
    <w:p w14:paraId="657A5448" w14:textId="61FF730B" w:rsidR="009A0487" w:rsidRPr="00DF0BEE" w:rsidRDefault="009A0487">
      <w:pPr>
        <w:pStyle w:val="Abstract"/>
        <w:rPr>
          <w:rFonts w:ascii="Times New Roman" w:hAnsi="Times New Roman"/>
          <w:sz w:val="22"/>
          <w:szCs w:val="22"/>
        </w:rPr>
      </w:pPr>
      <w:r w:rsidRPr="00DF0BEE">
        <w:rPr>
          <w:rFonts w:ascii="Times New Roman" w:hAnsi="Times New Roman"/>
          <w:b/>
          <w:sz w:val="22"/>
          <w:szCs w:val="22"/>
        </w:rPr>
        <w:t>Abstract</w:t>
      </w:r>
      <w:r w:rsidRPr="00DF0BEE">
        <w:rPr>
          <w:rFonts w:ascii="Times New Roman" w:hAnsi="Times New Roman"/>
          <w:sz w:val="22"/>
          <w:szCs w:val="22"/>
        </w:rPr>
        <w:t xml:space="preserve">. </w:t>
      </w:r>
      <w:r w:rsidR="0066077A" w:rsidRPr="00DF0BEE">
        <w:rPr>
          <w:rFonts w:ascii="Times New Roman" w:hAnsi="Times New Roman"/>
          <w:sz w:val="22"/>
          <w:szCs w:val="22"/>
        </w:rPr>
        <w:t xml:space="preserve">Technology has a significant role during the period of Pandemic Covid-19 to support students learning. The purpose of this study was to enhance 3rd-grade primary school students’ mathematical understanding using </w:t>
      </w:r>
      <w:proofErr w:type="spellStart"/>
      <w:r w:rsidR="0066077A" w:rsidRPr="00DF0BEE">
        <w:rPr>
          <w:rFonts w:ascii="Times New Roman" w:hAnsi="Times New Roman"/>
          <w:sz w:val="22"/>
          <w:szCs w:val="22"/>
        </w:rPr>
        <w:t>PhET</w:t>
      </w:r>
      <w:proofErr w:type="spellEnd"/>
      <w:r w:rsidR="0066077A" w:rsidRPr="00DF0BEE">
        <w:rPr>
          <w:rFonts w:ascii="Times New Roman" w:hAnsi="Times New Roman"/>
          <w:sz w:val="22"/>
          <w:szCs w:val="22"/>
        </w:rPr>
        <w:t xml:space="preserve"> Interactive Simulation in fractions learning. The </w:t>
      </w:r>
      <w:r w:rsidR="00375446" w:rsidRPr="00DF0BEE">
        <w:rPr>
          <w:rFonts w:ascii="Times New Roman" w:hAnsi="Times New Roman"/>
          <w:sz w:val="22"/>
          <w:szCs w:val="22"/>
        </w:rPr>
        <w:t>quasi-experiment</w:t>
      </w:r>
      <w:r w:rsidR="0066077A" w:rsidRPr="00DF0BEE">
        <w:rPr>
          <w:rFonts w:ascii="Times New Roman" w:hAnsi="Times New Roman"/>
          <w:sz w:val="22"/>
          <w:szCs w:val="22"/>
        </w:rPr>
        <w:t xml:space="preserve"> research design was administered in order to answer the research question. The participants of this study were </w:t>
      </w:r>
      <w:r w:rsidR="00375446" w:rsidRPr="00DF0BEE">
        <w:rPr>
          <w:rFonts w:ascii="Times New Roman" w:hAnsi="Times New Roman"/>
          <w:sz w:val="22"/>
          <w:szCs w:val="22"/>
        </w:rPr>
        <w:t>48</w:t>
      </w:r>
      <w:r w:rsidR="0066077A" w:rsidRPr="00DF0BEE">
        <w:rPr>
          <w:rFonts w:ascii="Times New Roman" w:hAnsi="Times New Roman"/>
          <w:sz w:val="22"/>
          <w:szCs w:val="22"/>
        </w:rPr>
        <w:t xml:space="preserve"> 3rd grade students in </w:t>
      </w:r>
      <w:proofErr w:type="spellStart"/>
      <w:r w:rsidR="0066077A" w:rsidRPr="00DF0BEE">
        <w:rPr>
          <w:rFonts w:ascii="Times New Roman" w:hAnsi="Times New Roman"/>
          <w:sz w:val="22"/>
          <w:szCs w:val="22"/>
        </w:rPr>
        <w:t>Kuningan</w:t>
      </w:r>
      <w:proofErr w:type="spellEnd"/>
      <w:r w:rsidR="0066077A" w:rsidRPr="00DF0BEE">
        <w:rPr>
          <w:rFonts w:ascii="Times New Roman" w:hAnsi="Times New Roman"/>
          <w:sz w:val="22"/>
          <w:szCs w:val="22"/>
        </w:rPr>
        <w:t xml:space="preserve">, West Java. The data were collected through tests of students’ mathematical understanding of fractions and classroom observation. The result of this study proves that </w:t>
      </w:r>
      <w:proofErr w:type="spellStart"/>
      <w:r w:rsidR="0066077A" w:rsidRPr="00DF0BEE">
        <w:rPr>
          <w:rFonts w:ascii="Times New Roman" w:hAnsi="Times New Roman"/>
          <w:sz w:val="22"/>
          <w:szCs w:val="22"/>
        </w:rPr>
        <w:t>PhET</w:t>
      </w:r>
      <w:proofErr w:type="spellEnd"/>
      <w:r w:rsidR="0066077A" w:rsidRPr="00DF0BEE">
        <w:rPr>
          <w:rFonts w:ascii="Times New Roman" w:hAnsi="Times New Roman"/>
          <w:sz w:val="22"/>
          <w:szCs w:val="22"/>
        </w:rPr>
        <w:t xml:space="preserve"> Interactive Simulation was significantly improved students' mathematical understanding of Fractions.</w:t>
      </w:r>
    </w:p>
    <w:p w14:paraId="21002A18" w14:textId="5DBBE353" w:rsidR="009A0487" w:rsidRPr="00DF0BEE" w:rsidRDefault="004A70C9">
      <w:pPr>
        <w:pStyle w:val="Section"/>
        <w:rPr>
          <w:rFonts w:ascii="Times New Roman" w:hAnsi="Times New Roman"/>
        </w:rPr>
      </w:pPr>
      <w:r w:rsidRPr="00DF0BEE">
        <w:rPr>
          <w:rFonts w:ascii="Times New Roman" w:hAnsi="Times New Roman"/>
        </w:rPr>
        <w:t>Introduction</w:t>
      </w:r>
    </w:p>
    <w:p w14:paraId="31118ACD" w14:textId="65DE9CAE" w:rsidR="004A70C9" w:rsidRPr="00DF0BEE" w:rsidRDefault="004A70C9" w:rsidP="004A70C9">
      <w:pPr>
        <w:pStyle w:val="Bodytext"/>
        <w:rPr>
          <w:rFonts w:ascii="Times New Roman" w:hAnsi="Times New Roman"/>
        </w:rPr>
      </w:pPr>
      <w:r w:rsidRPr="00DF0BEE">
        <w:rPr>
          <w:rFonts w:ascii="Times New Roman" w:hAnsi="Times New Roman"/>
        </w:rPr>
        <w:t>The spread of the 2019 Corona Dieses Virus (Covid-19) has affected education systems around the world. In response to these conditions, most schools have implemented physical distancing (social distancing) and implemented teaching and learning practices through distance learning (PJJ) to prevent the spread of transmission to students</w:t>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DOI":"10.1177/2096531120930021","ISSN":"26321742","author":[{"dropping-particle":"","family":"Song","given":"Huan","non-dropping-particle":"","parse-names":false,"suffix":""},{"dropping-particle":"","family":"Wu","given":"Jianjian","non-dropping-particle":"","parse-names":false,"suffix":""},{"dropping-particle":"","family":"Zhi","given":"Tianyi","non-dropping-particle":"","parse-names":false,"suffix":""}],"container-title":"ECNU Review of Education","id":"ITEM-1","issue":"4","issued":{"date-parts":[["2020"]]},"page":"745-754","title":"Online Teaching for Elementary and Secondary Schools During COVID-19","type":"article-journal","volume":"3"},"uris":["http://www.mendeley.com/documents/?uuid=5f3244eb-f006-432f-9741-d2fe1ed6f8ce"]}],"mendeley":{"formattedCitation":"[1]","plainTextFormattedCitation":"[1]","previouslyFormattedCitation":"[1]"},"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[1]</w:t>
      </w:r>
      <w:r w:rsidR="00884121">
        <w:rPr>
          <w:rFonts w:ascii="Times New Roman" w:hAnsi="Times New Roman"/>
        </w:rPr>
        <w:fldChar w:fldCharType="end"/>
      </w:r>
      <w:r w:rsidRPr="00DF0BEE">
        <w:rPr>
          <w:rFonts w:ascii="Times New Roman" w:hAnsi="Times New Roman"/>
        </w:rPr>
        <w:t>. The Indonesian government through the Ministry of Education and Culture (</w:t>
      </w:r>
      <w:proofErr w:type="spellStart"/>
      <w:r w:rsidRPr="00DF0BEE">
        <w:rPr>
          <w:rFonts w:ascii="Times New Roman" w:hAnsi="Times New Roman"/>
        </w:rPr>
        <w:t>Kemdikbud</w:t>
      </w:r>
      <w:proofErr w:type="spellEnd"/>
      <w:r w:rsidRPr="00DF0BEE">
        <w:rPr>
          <w:rFonts w:ascii="Times New Roman" w:hAnsi="Times New Roman"/>
        </w:rPr>
        <w:t>) has decided to implement the PJJ policy or in other terms known as distance learning/remote learning since March 24, 2020 (</w:t>
      </w:r>
      <w:proofErr w:type="spellStart"/>
      <w:r w:rsidRPr="00DF0BEE">
        <w:rPr>
          <w:rFonts w:ascii="Times New Roman" w:hAnsi="Times New Roman"/>
        </w:rPr>
        <w:t>Kemdikbud</w:t>
      </w:r>
      <w:proofErr w:type="spellEnd"/>
      <w:r w:rsidRPr="00DF0BEE">
        <w:rPr>
          <w:rFonts w:ascii="Times New Roman" w:hAnsi="Times New Roman"/>
        </w:rPr>
        <w:t>, 2020). This condition makes students in Indonesia experience the same thing as in other countries, where they are taught by teachers through online media during the period of the spread of Covid-19</w:t>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{"citationItems":[{"id":"ITEM-1","itemData":{"DOI":"10.29333/EJMSTE/8240","ISSN":"13058223","abstract":"School closures in Indonesia during the COVID-19 pandemic have left 45.5 million school students and 3.1 million teachers dependent on online teaching and learning. Online teaching and learning are an unprecedented experience for most teachers and students; consequently, they have a limited experience with it. This paper examines the views of secondary school mathematics teachers on E-learning implementation barriers during the COVID-19 pandemic at four barrier levels, namely teacher, school, curriculum and student. Furthermore, it assesses the relationship between barrier levels with teachers' demographic background. Data was collected through an online questionnaire, involving 159 participants from lower and upper secondary schools in Indonesia. The findings of this study suggest that student level barrier had the highest impact on e-learning use. In addition, the student level barrier showed strong positive correlation with the school level barrier and curriculum level barrier. The study showed that teachers' backgrounds had no impact on the level of barriers. This study stimulates further discussion on the way to overcome e-learning barriers whilst simultaneously maximizing benefits of E-learning during this pandemic and beyond it by highlighting the importance of students' voices.","author":[{"dropping-particle":"","family":"Mailizar","given":"","non-dropping-particle":"","parse-names":false,"suffix":""},{"dropping-particle":"","family":"Almanthari","given":"Abdulsalam","non-dropping-particle":"","parse-names":false,"suffix":""},{"dropping-particle":"","family":"Maulina","given":"Suci","non-dropping-particle":"","parse-names":false,"suffix":""},{"dropping-particle":"","family":"Bruce","given":"Sandra","non-dropping-particle":"","parse-names":false,"suffix":""}],"container-title":"Eurasia Journal of Mathematics, Science and Technology Education","id":"ITEM-1","issue":"7","issued":{"date-parts":[["2020"]]},"title":"Secondary school mathematics teachers' views on e-learning implementation barriers during the COVID-19 pandemic: The case of Indonesia","type":"article-journal","volume":"16"},"uris":["http://www.mendeley.com/documents/?uuid=b50fea62-ef76-47a6-af01-b7844a811bd4"]}],"mendeley":{"formattedCitation":"[2]","plainTextFormattedCitation":"[2]","previouslyFormattedCitation":"[2]"},"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[2]</w:t>
      </w:r>
      <w:r w:rsidR="00884121">
        <w:rPr>
          <w:rFonts w:ascii="Times New Roman" w:hAnsi="Times New Roman"/>
        </w:rPr>
        <w:fldChar w:fldCharType="end"/>
      </w:r>
      <w:r w:rsidR="00884121">
        <w:rPr>
          <w:rFonts w:ascii="Times New Roman" w:hAnsi="Times New Roman"/>
        </w:rPr>
        <w:t xml:space="preserve">. </w:t>
      </w:r>
    </w:p>
    <w:p w14:paraId="0906B6F0" w14:textId="2B0DB814" w:rsidR="004A70C9" w:rsidRPr="00DF0BEE" w:rsidRDefault="004A70C9" w:rsidP="004A70C9">
      <w:pPr>
        <w:pStyle w:val="BodytextIndented"/>
        <w:rPr>
          <w:rFonts w:ascii="Times New Roman" w:hAnsi="Times New Roman"/>
        </w:rPr>
      </w:pPr>
      <w:r w:rsidRPr="00DF0BEE">
        <w:rPr>
          <w:rFonts w:ascii="Times New Roman" w:hAnsi="Times New Roman"/>
        </w:rPr>
        <w:t>As a consequence of the implementation of PJJ, today we are witnessing students using their laptops or smartphones to access online learning content from home as a consequence of the spread of the 2019 Corona Dieses Virus (Covid-19), this also occurs in the practice of learning mathematics. However, there is debate among experts in the field of mathematics education about the most optimal way to teach mathematics. On the one hand, some experts argue that teaching mathematics should include a clear explanation from the teacher about the procedures followed by practice and correction</w:t>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{"citationItems":[{"id":"ITEM-1","itemData":{"DOI":"10.1207/s15326985ep4102_1","ISSN":"00461520","abstract":"Evidence for the superiority of guided instruction is explained in the context of our knowledge of human cognitive architecture, expert-novice differences, and cognitive load. Although unguided or minimally guided instructional approaches are very popular and intuitively appealing, the point is made that these approaches ignore both the structures that constitute human cognitive architecture and evidence from empirical studies over the past half-century that consistently indicate that minimally guided instruction is less effective and less efficient than instructional approaches that place a strong emphasis on guidance of the student learning process. The advantage of guidance begins to recede only when learners have sufficiently high prior knowledge to provide \"internal\" guidance. Recent developments in instructional research and instructional design models that support guidance during instruction are briefly described. Copyright © 2006, Lawrence Erlbaum Associates, Inc.","author":[{"dropping-particle":"","family":"Kirschner","given":"Paul A.","non-dropping-particle":"","parse-names":false,"suffix":""},{"dropping-particle":"","family":"Sweller","given":"John","non-dropping-particle":"","parse-names":false,"suffix":""},{"dropping-particle":"","family":"Clark","given":"Richard E.","non-dropping-particle":"","parse-names":false,"suffix":""}],"container-title":"Educational Psychologist","id":"ITEM-1","issue":"2","issued":{"date-parts":[["2006"]]},"page":"75-86","title":"Why minimal guidance during instruction does not work: An analysis of the failure of constructivist, discovery, problem-based, experiential, and inquiry-based teaching","type":"article-journal","volume":"41"},"uris":["http://www.mendeley.com/documents/?uuid=4629d73e-2829-4889-8b1e-9c0a557e8172"]}],"mendeley":{"formattedCitation":"[3]","plainTextFormattedCitation":"[3]","previouslyFormattedCitation":"[3]"},"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[3]</w:t>
      </w:r>
      <w:r w:rsidR="00884121">
        <w:rPr>
          <w:rFonts w:ascii="Times New Roman" w:hAnsi="Times New Roman"/>
        </w:rPr>
        <w:fldChar w:fldCharType="end"/>
      </w:r>
      <w:r w:rsidRPr="00DF0BEE">
        <w:rPr>
          <w:rFonts w:ascii="Times New Roman" w:hAnsi="Times New Roman"/>
        </w:rPr>
        <w:t>. On the other hand, those who argue that good mathematics learning occurs when students learn to complete mathematical tasks and understand mathematical concepts independently through reasoning, investigation</w:t>
      </w:r>
      <w:r w:rsidR="00884121">
        <w:rPr>
          <w:rFonts w:ascii="Times New Roman" w:hAnsi="Times New Roman"/>
        </w:rPr>
        <w:t>,</w:t>
      </w:r>
      <w:r w:rsidRPr="00DF0BEE">
        <w:rPr>
          <w:rFonts w:ascii="Times New Roman" w:hAnsi="Times New Roman"/>
        </w:rPr>
        <w:t xml:space="preserve"> and proof </w:t>
      </w:r>
      <w:r w:rsidR="00884121">
        <w:rPr>
          <w:rFonts w:ascii="Times New Roman" w:hAnsi="Times New Roman"/>
        </w:rPr>
        <w:fldChar w:fldCharType="begin" w:fldLock="1"/>
      </w:r>
      <w:r w:rsidR="00884121">
        <w:rPr>
          <w:rFonts w:ascii="Times New Roman" w:hAnsi="Times New Roman"/>
        </w:rPr>
        <w:instrText>ADDIN CSL_CITATION {"citationItems":[{"id":"ITEM-1","itemData":{"DOI":"10.1207/s1532690xci2202_1","ISSN":"07370008","abstract":"Activities that promote student invention can appear inefficient, because students do not generate canonical solutions, and therefore the students may perform badly on standard assessments. Two studies on teaching descriptive statistics to 9th-grade students examined whether invention activities may prepare students to learn. Study 1 found that invention activities, when coupled with subsequent learning resources like lectures, led to strong gains in procedural skills, insight into formulas, and abilities to evaluate data from an argument. Additionally, an embedded assessment experiment crossed the factors of instructional method by type of transfer test, with 1 test including resources for learning and 1 not. A \"tell-and-practice\" instructional condition led to the same transfer results as an invention condition when there was no learning resource, but the invention condition did better than the tell-and-practice condition when there was a learning resource. This demonstrates the value of invention activities for future learning from resources, and the value of assessments that include opportunities to learn during a test. In Study 2, classroom teachers implemented the instruction and replicated the results. The studies demonstrate that intuitively compelling student-centered activities can be both pedagogically tractable and effective at preparing students to learn.","author":[{"dropping-particle":"","family":"Schwartz","given":"Daniel L.","non-dropping-particle":"","parse-names":false,"suffix":""},{"dropping-particle":"","family":"Martin","given":"Taylor","non-dropping-particle":"","parse-names":false,"suffix":""}],"container-title":"Cognition and Instruction","id":"ITEM-1","issue":"2","issued":{"date-parts":[["2004"]]},"page":"129-184","title":"Inventing to prepare for future learning: The hidden efficiency of encouraging original student production in statistics instruction","type":"article-journal","volume":"22"},"uris":["http://www.mendeley.com/documents/?uuid=7e445246-ac9a-4db9-8c44-67e79543cebf"]}],"mendeley":{"formattedCitation":"[4]","plainTextFormattedCitation":"[4]","previouslyFormattedCitation":"[4]"},"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[4]</w:t>
      </w:r>
      <w:r w:rsidR="00884121">
        <w:rPr>
          <w:rFonts w:ascii="Times New Roman" w:hAnsi="Times New Roman"/>
        </w:rPr>
        <w:fldChar w:fldCharType="end"/>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{"citationItems":[{"id":"ITEM-1","itemData":{"DOI":"10.1007/s13394-020-00339-6","ISSN":"2211050X","abstract":"Australian schools, like schools elsewhere, have been through a period of closure. The closure creates both threats and opportunities for teachers and students. In the context of a project exploring approaches to teaching in early years, we outline some considerations and offer advice to teachers and educators on strategies for welcoming students back to school.","author":[{"dropping-particle":"","family":"Sullivan","given":"Peter","non-dropping-particle":"","parse-names":false,"suffix":""},{"dropping-particle":"","family":"Bobis","given":"Janette","non-dropping-particle":"","parse-names":false,"suffix":""},{"dropping-particle":"","family":"Downton","given":"Ann","non-dropping-particle":"","parse-names":false,"suffix":""},{"dropping-particle":"","family":"Feng","given":"Maggie","non-dropping-particle":"","parse-names":false,"suffix":""},{"dropping-particle":"","family":"Hughes","given":"Sally","non-dropping-particle":"","parse-names":false,"suffix":""},{"dropping-particle":"","family":"Livy","given":"Sharyn","non-dropping-particle":"","parse-names":false,"suffix":""},{"dropping-particle":"","family":"McCormick","given":"Melody","non-dropping-particle":"","parse-names":false,"suffix":""},{"dropping-particle":"","family":"Russo","given":"James","non-dropping-particle":"","parse-names":false,"suffix":""}],"container-title":"Mathematics Education Research Journal","id":"ITEM-1","issue":"3","issued":{"date-parts":[["2020"]]},"page":"551-559","publisher":"Mathematics Education Research Journal","title":"Threats and opportunities in remote learning of mathematics: implication for the return to the classroom","type":"article-journal","volume":"32"},"uris":["http://www.mendeley.com/documents/?uuid=ae304c61-b5e3-42f6-9472-20f66be4e3ab"]}],"mendeley":{"formattedCitation":"[5]","plainTextFormattedCitation":"[5]","previouslyFormattedCitation":"[5]"},"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[5]</w:t>
      </w:r>
      <w:r w:rsidR="00884121">
        <w:rPr>
          <w:rFonts w:ascii="Times New Roman" w:hAnsi="Times New Roman"/>
        </w:rPr>
        <w:fldChar w:fldCharType="end"/>
      </w:r>
      <w:r w:rsidRPr="00DF0BEE">
        <w:rPr>
          <w:rFonts w:ascii="Times New Roman" w:hAnsi="Times New Roman"/>
        </w:rPr>
        <w:t>. The debate then raises the question " PJJ will be optimal for teaching mathematics to students?"</w:t>
      </w:r>
    </w:p>
    <w:p w14:paraId="61A4CE35" w14:textId="73F58DC5" w:rsidR="004A70C9" w:rsidRPr="00DF0BEE" w:rsidRDefault="004A70C9" w:rsidP="004A70C9">
      <w:pPr>
        <w:pStyle w:val="BodytextIndented"/>
        <w:rPr>
          <w:rFonts w:ascii="Times New Roman" w:hAnsi="Times New Roman"/>
        </w:rPr>
      </w:pPr>
      <w:r w:rsidRPr="00DF0BEE">
        <w:rPr>
          <w:rFonts w:ascii="Times New Roman" w:hAnsi="Times New Roman"/>
        </w:rPr>
        <w:t xml:space="preserve">Research evidence shows that online-based mathematics learning is much more problematic than other subjects </w:t>
      </w:r>
      <w:r w:rsidR="00884121">
        <w:rPr>
          <w:rFonts w:ascii="Times New Roman" w:hAnsi="Times New Roman"/>
        </w:rPr>
        <w:fldChar w:fldCharType="begin" w:fldLock="1"/>
      </w:r>
      <w:r w:rsidR="00884121">
        <w:rPr>
          <w:rFonts w:ascii="Times New Roman" w:hAnsi="Times New Roman"/>
        </w:rPr>
        <w:instrText>ADDIN CSL_CITATION {"citationItems":[{"id":"ITEM-1","itemData":{"DOI":"10.14742/ajet.1323","ISSN":"1449-3098","abstract":"&lt;span&gt;Qualitative studies indicate that mathematics does not work well in e-learning. The current study used quantitative methods to investigate more objectively the extent of problems with mathematics in e-learning. The authors used student attrition as a simple measure of student satisfaction and course viability in two studies, one investigating attrition in e-learning and a second comparison study of attrition in face to face courses. In e-learning, attrition (drop out rate) was significantly higher for math courses versus non-math. For face to face courses, attrition rates for math versus non-math courses were nearly equal. The authors suggest reasons for high student attrition in math e-learning. Online student populations are different from their face to face peers. E-learning systems are poorly adapted to mathematics.&lt;/span&gt;","author":[{"dropping-particle":"","family":"Smith","given":"Glenn Gordon","non-dropping-particle":"","parse-names":false,"suffix":""},{"dropping-particle":"","family":"Ferguson","given":"David","non-dropping-particle":"","parse-names":false,"suffix":""}],"container-title":"Australasian Journal of Educational Technology","id":"ITEM-1","issue":"3","issued":{"date-parts":[["2005"]]},"page":"323-334","title":"Student attrition in mathematics e-learning","type":"article-journal","volume":"21"},"uris":["http://www.mendeley.com/documents/?uuid=9001db18-078b-4585-9f7b-21a843d52c3f"]}],"mendeley":{"formattedCitation":"[6]","plainTextFormattedCitation":"[6]","previouslyFormattedCitation":"[6]"},"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[6]</w:t>
      </w:r>
      <w:r w:rsidR="00884121">
        <w:rPr>
          <w:rFonts w:ascii="Times New Roman" w:hAnsi="Times New Roman"/>
        </w:rPr>
        <w:fldChar w:fldCharType="end"/>
      </w:r>
      <w:r w:rsidRPr="00DF0BEE">
        <w:rPr>
          <w:rFonts w:ascii="Times New Roman" w:hAnsi="Times New Roman"/>
        </w:rPr>
        <w:t xml:space="preserve">. Mathematics which tends to be abstract requires teachers to be able to provide a strong conceptual and procedural understanding and develop reasoning abilities for students in learning mathematics. The reality on the ground in the context of mathematics education in Indonesia </w:t>
      </w:r>
      <w:r w:rsidRPr="00DF0BEE">
        <w:rPr>
          <w:rFonts w:ascii="Times New Roman" w:hAnsi="Times New Roman"/>
        </w:rPr>
        <w:lastRenderedPageBreak/>
        <w:t>during the pandemic shows that mathematics learning is still dominated by learning activities that are rigid and less interactive</w:t>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{"citationItems":[{"id":"ITEM-1","itemData":{"abstract":"Remote learning that must be carried out by schools in Indonesia during the COVID-19 pandemic was a challenge for most teachers. This study aimed to investigate mathematical conversations maintained by the teachers in remote learning of mathematics during the COVID-19 pandemic. It was a descriptive qualitative study that was analyzed based on school time during the pandemic, online teaching platforms used, the way the teachers carry out remote learning of mathematics, and how the teachers and the students interact. The data were collected from three mathematics teachers and eight students in a public senior high school in Bekasi District, Indonesia. They were interviewed by phone, and then the results of the interview were complemented by several captures of the students' conversations when learning mathematics via WhatsApp. This study revealed that remote learning of mathematics was still dominated by a rigid or less interactive learning environment, which could be seen from how the teachers gave mathematics problems, questions, and instructions, as well as how they responded to student questioning.","author":[{"dropping-particle":"","family":"Wahyuningrum, A.S&amp;Latifah","given":"T.","non-dropping-particle":"","parse-names":false,"suffix":""}],"container-title":"Jurnal Riset Pendidikan Matematika","id":"ITEM-1","issue":"2","issued":{"date-parts":[["2020"]]},"page":"148-162","title":"Investigating mathematical conversation in remote learning of mathematics during the covid-19 pandemic","type":"article-journal","volume":"7"},"uris":["http://www.mendeley.com/documents/?uuid=417b51e0-a069-44a1-b9af-2f8424b3202e"]}],"mendeley":{"formattedCitation":"[7]","plainTextFormattedCitation":"[7]","previouslyFormattedCitation":"[7]"},"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[7]</w:t>
      </w:r>
      <w:r w:rsidR="00884121">
        <w:rPr>
          <w:rFonts w:ascii="Times New Roman" w:hAnsi="Times New Roman"/>
        </w:rPr>
        <w:fldChar w:fldCharType="end"/>
      </w:r>
      <w:r w:rsidRPr="00DF0BEE">
        <w:rPr>
          <w:rFonts w:ascii="Times New Roman" w:hAnsi="Times New Roman"/>
        </w:rPr>
        <w:t>. This may happen considering that during the pandemic, time, location and distance are a big problem at this time</w:t>
      </w:r>
      <w:r w:rsidR="00884121">
        <w:rPr>
          <w:rFonts w:ascii="Times New Roman" w:hAnsi="Times New Roman"/>
        </w:rPr>
        <w:t xml:space="preserve"> </w:t>
      </w:r>
      <w:r w:rsidR="00884121">
        <w:rPr>
          <w:rFonts w:ascii="Times New Roman" w:hAnsi="Times New Roman"/>
        </w:rPr>
        <w:fldChar w:fldCharType="begin" w:fldLock="1"/>
      </w:r>
      <w:r w:rsidR="00884121">
        <w:rPr>
          <w:rFonts w:ascii="Times New Roman" w:hAnsi="Times New Roman"/>
        </w:rPr>
        <w:instrText>ADDIN CSL_CITATION {"citationItems":[{"id":"ITEM-1","itemData":{"DOI":"10.26877/jipmat.v5i1.5942","ISSN":"2502-7638","abstract":"Tujuan dalam penelitian ini adalah untuk mengetahui hasil belajar matematika mana yang lebih baik, dengan whatsapp group atau webinar zoom dan seberapa efektifnya kedua Platform tersebut dalam Masa Pandemi Covid-19. Jenis penelitian yang dilakukan pada penelitian ini adalah penelitian quasi experiment dengan desain pretest-postest nonequivalent multiple-group design. Populasi dalam penelitian ini adalah seluruh mahasiswa semester 2 yang mengambil mata kuliah Matematika Ekonomi di Universitas Bina Bangsa dan dipilih 2 kelompok yaitu kelas 2J-MAN dan 2K-MAN yang mempunyai karakteristik hampir sama dilihat dari nilai rata-rata UTS. Data hasil belajar mahasiswa diperoleh dari hasil ujian tengah semester (UTS) kedua kelompok setelah perlakuan, data kemudian diolah dengan uji perbedaan rata-rata Uji-t. Hasil penelitian menunjukan bahwa hasil belajar matematika kedua kelas sama sebelum diberi perlakuan dan hasil belajar matematika kedua kelas berbeda setelah diberi perlakuan atau dengan kata lain kelas yang diberikan Perlakuan Webinar Zoom lebih baik dari pada kelas yang diberikan Perlakuan WA Group.","author":[{"dropping-particle":"","family":"Kusuma","given":"Jaka Wijaya","non-dropping-particle":"","parse-names":false,"suffix":""},{"dropping-particle":"","family":"Hamidah","given":"Hamidah","non-dropping-particle":"","parse-names":false,"suffix":""}],"container-title":"JIPMat","id":"ITEM-1","issue":"1","issued":{"date-parts":[["2020"]]},"title":"Perbandingan Hasil Belajar Matematika Dengan Penggunaan Platform Whatsapp Group Dan Webinar Zoom Dalam Pembelajaran Jarak Jauh Pada Masa Pandemik Covid 19","type":"article-journal","volume":"5"},"uris":["http://www.mendeley.com/documents/?uuid=164342c4-ab32-4218-bbb6-420c41ab6636"]}],"mendeley":{"formattedCitation":"[8]","plainTextFormattedCitation":"[8]","previouslyFormattedCitation":"[8]"},"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[8]</w:t>
      </w:r>
      <w:r w:rsidR="00884121">
        <w:rPr>
          <w:rFonts w:ascii="Times New Roman" w:hAnsi="Times New Roman"/>
        </w:rPr>
        <w:fldChar w:fldCharType="end"/>
      </w:r>
      <w:r w:rsidRPr="00DF0BEE">
        <w:rPr>
          <w:rFonts w:ascii="Times New Roman" w:hAnsi="Times New Roman"/>
        </w:rPr>
        <w:t>. It should be realized that the unpreparedness of teachers and students towards online learning is also a problem. The shift from conventional learning systems to online systems is very sudden, without proper preparation. But all of this must be carried out so that the learning process can run smoothly and students actively participate even in the conditions of the Covid-19 pandemic. The application of distance learning with online media raises various debates related to accessibility, affordability, flexibility, and learning pedagogy</w:t>
      </w:r>
      <w:r w:rsidR="00207FE5">
        <w:rPr>
          <w:rFonts w:ascii="Times New Roman" w:hAnsi="Times New Roman"/>
        </w:rPr>
        <w:t xml:space="preserve"> </w:t>
      </w:r>
      <w:r w:rsidR="00207FE5">
        <w:rPr>
          <w:rFonts w:ascii="Times New Roman" w:hAnsi="Times New Roman"/>
        </w:rPr>
        <w:fldChar w:fldCharType="begin" w:fldLock="1"/>
      </w:r>
      <w:r w:rsidR="00207FE5">
        <w:rPr>
          <w:rFonts w:ascii="Times New Roman" w:hAnsi="Times New Roman"/>
        </w:rPr>
        <w:instrText>ADDIN CSL_CITATION {"citationItems":[{"id":"ITEM-1","itemData":{"DOI":"10.1177/0047239520934018","ISSN":"0047-2395","abstract":"Educational institutions (schools, colleges, and universities) in India are currently based only on traditional methods of learning, that is, they follow the traditional set up of face-to-face lectures in a classroom. Although many academic units have also started blended learning, still a lot of them are stuck with old procedures. The sudden outbreak of a deadly disease called Covid-19 caused by a Corona Virus (SARS-CoV-2) shook the entire world. The World Health Organization declared it as a pandemic. This situation challenged the education system across the world and forced educators to shift to an online mode of teaching overnight. Many academic institutions that were earlier reluctant to change their traditional pedagogical approach had no option but to shift entirely to online teaching–learning. The article includes the importance of online learning and Strengths, Weaknesses, Opportunities, &amp; Challenges (SWOC) analysis of e-learning modes in the time of crisis. This article also put some light on the growth of EdTech Start-ups during the time of pandemic and natural disasters and includes suggestions for academic institutions of how to deal with challenges associated with online learning.","author":[{"dropping-particle":"","family":"Dhawan","given":"Shivangi","non-dropping-particle":"","parse-names":false,"suffix":""}],"container-title":"Journal of Educational Technology Systems","id":"ITEM-1","issue":"1","issued":{"date-parts":[["2020"]]},"page":"5-22","title":"Online Learning: A Panacea in the Time of COVID-19 Crisis","type":"article-journal","volume":"49"},"uris":["http://www.mendeley.com/documents/?uuid=c5d7b713-7733-4b0f-aff8-63d15def4dd0"]}],"mendeley":{"formattedCitation":"[9]","plainTextFormattedCitation":"[9]","previouslyFormattedCitation":"[9]"},"properties":{"noteIndex":0},"schema":"https://github.com/citation-style-language/schema/raw/master/csl-citation.json"}</w:instrText>
      </w:r>
      <w:r w:rsidR="00207FE5">
        <w:rPr>
          <w:rFonts w:ascii="Times New Roman" w:hAnsi="Times New Roman"/>
        </w:rPr>
        <w:fldChar w:fldCharType="separate"/>
      </w:r>
      <w:r w:rsidR="00207FE5" w:rsidRPr="00207FE5">
        <w:rPr>
          <w:rFonts w:ascii="Times New Roman" w:hAnsi="Times New Roman"/>
          <w:noProof/>
        </w:rPr>
        <w:t>[9]</w:t>
      </w:r>
      <w:r w:rsidR="00207FE5">
        <w:rPr>
          <w:rFonts w:ascii="Times New Roman" w:hAnsi="Times New Roman"/>
        </w:rPr>
        <w:fldChar w:fldCharType="end"/>
      </w:r>
      <w:r w:rsidRPr="00DF0BEE">
        <w:rPr>
          <w:rFonts w:ascii="Times New Roman" w:hAnsi="Times New Roman"/>
        </w:rPr>
        <w:t>. Distance learning makes it difficult for teachers to provide explanations and provide the desired tasks to meet student learning needs</w:t>
      </w:r>
      <w:r w:rsidR="00884121">
        <w:rPr>
          <w:rFonts w:ascii="Times New Roman" w:hAnsi="Times New Roman"/>
        </w:rPr>
        <w:t xml:space="preserve"> </w:t>
      </w:r>
      <w:r w:rsidR="00884121">
        <w:rPr>
          <w:rFonts w:ascii="Times New Roman" w:hAnsi="Times New Roman"/>
        </w:rPr>
        <w:fldChar w:fldCharType="begin" w:fldLock="1"/>
      </w:r>
      <w:r w:rsidR="00207FE5">
        <w:rPr>
          <w:rFonts w:ascii="Times New Roman" w:hAnsi="Times New Roman"/>
        </w:rPr>
        <w:instrText>ADDIN CSL_CITATION {"citationItems":[{"id":"ITEM-1","itemData":{"DOI":"10.1007/s13394-020-00339-6","ISSN":"2211050X","abstract":"Australian schools, like schools elsewhere, have been through a period of closure. The closure creates both threats and opportunities for teachers and students. In the context of a project exploring approaches to teaching in early years, we outline some considerations and offer advice to teachers and educators on strategies for welcoming students back to school.","author":[{"dropping-particle":"","family":"Sullivan","given":"Peter","non-dropping-particle":"","parse-names":false,"suffix":""},{"dropping-particle":"","family":"Bobis","given":"Janette","non-dropping-particle":"","parse-names":false,"suffix":""},{"dropping-particle":"","family":"Downton","given":"Ann","non-dropping-particle":"","parse-names":false,"suffix":""},{"dropping-particle":"","family":"Feng","given":"Maggie","non-dropping-particle":"","parse-names":false,"suffix":""},{"dropping-particle":"","family":"Hughes","given":"Sally","non-dropping-particle":"","parse-names":false,"suffix":""},{"dropping-particle":"","family":"Livy","given":"Sharyn","non-dropping-particle":"","parse-names":false,"suffix":""},{"dropping-particle":"","family":"McCormick","given":"Melody","non-dropping-particle":"","parse-names":false,"suffix":""},{"dropping-particle":"","family":"Russo","given":"James","non-dropping-particle":"","parse-names":false,"suffix":""}],"container-title":"Mathematics Education Research Journal","id":"ITEM-1","issue":"3","issued":{"date-parts":[["2020"]]},"page":"551-559","publisher":"Mathematics Education Research Journal","title":"Threats and opportunities in remote learning of mathematics: implication for the return to the classroom","type":"article-journal","volume":"32"},"uris":["http://www.mendeley.com/documents/?uuid=ae304c61-b5e3-42f6-9472-20f66be4e3ab"]}],"mendeley":{"formattedCitation":"[5]","plainTextFormattedCitation":"[5]","previouslyFormattedCitation":"[5]"},"properties":{"noteIndex":0},"schema":"https://github.com/citation-style-language/schema/raw/master/csl-citation.json"}</w:instrText>
      </w:r>
      <w:r w:rsidR="00884121">
        <w:rPr>
          <w:rFonts w:ascii="Times New Roman" w:hAnsi="Times New Roman"/>
        </w:rPr>
        <w:fldChar w:fldCharType="separate"/>
      </w:r>
      <w:r w:rsidR="00884121" w:rsidRPr="00884121">
        <w:rPr>
          <w:rFonts w:ascii="Times New Roman" w:hAnsi="Times New Roman"/>
          <w:noProof/>
        </w:rPr>
        <w:t>[5]</w:t>
      </w:r>
      <w:r w:rsidR="00884121">
        <w:rPr>
          <w:rFonts w:ascii="Times New Roman" w:hAnsi="Times New Roman"/>
        </w:rPr>
        <w:fldChar w:fldCharType="end"/>
      </w:r>
      <w:r w:rsidRPr="00DF0BEE">
        <w:rPr>
          <w:rFonts w:ascii="Times New Roman" w:hAnsi="Times New Roman"/>
        </w:rPr>
        <w:t xml:space="preserve">. The results also show that students who study online are more anxious than students who study in traditional classes on learning materials that are considered complex </w:t>
      </w:r>
      <w:r w:rsidR="00207FE5">
        <w:rPr>
          <w:rFonts w:ascii="Times New Roman" w:hAnsi="Times New Roman"/>
        </w:rPr>
        <w:fldChar w:fldCharType="begin" w:fldLock="1"/>
      </w:r>
      <w:r w:rsidR="00207FE5">
        <w:rPr>
          <w:rFonts w:ascii="Times New Roman" w:hAnsi="Times New Roman"/>
        </w:rPr>
        <w:instrText>ADDIN CSL_CITATION {"citationItems":[{"id":"ITEM-1","itemData":{"DOI":"10.1080/10691898.2010.11889472","ISSN":"10691898","abstract":"This study compared levels of statistics anxiety and attitude toward statistics for graduate students in on-campus and online statistics courses. The Survey of Attitudes Toward Statistics and three subscales of the Statistics Anxiety Rating Scale were administered at the beginning and end of graduate level educational statistic courses. Significant effects were observed for two anxiety scales (Interpretation and Test and Class Anxiety) and two attitude scales (Affect and Difficulty). Observed decreases in anxiety and increases in attitudes by online students offer encouragement to faculty that materials and techniques can be used to reduce anxiety and hopefully enhance learning within online statistics courses. Copyright © 2010 by Thomas A. DeVaney all rights reserved.","author":[{"dropping-particle":"","family":"DeVaney","given":"Thomas A.","non-dropping-particle":"","parse-names":false,"suffix":""}],"container-title":"Journal of Statistics Education","id":"ITEM-1","issue":"1","issued":{"date-parts":[["2010"]]},"page":"1-15","title":"Anxiety and attitude of graduate students in On-Campus vs. online statistics courses","type":"article-journal","volume":"18"},"uris":["http://www.mendeley.com/documents/?uuid=c6d3af72-1917-4171-8c7f-f4356956d43f"]}],"mendeley":{"formattedCitation":"[10]","plainTextFormattedCitation":"[10]","previouslyFormattedCitation":"[10]"},"properties":{"noteIndex":0},"schema":"https://github.com/citation-style-language/schema/raw/master/csl-citation.json"}</w:instrText>
      </w:r>
      <w:r w:rsidR="00207FE5">
        <w:rPr>
          <w:rFonts w:ascii="Times New Roman" w:hAnsi="Times New Roman"/>
        </w:rPr>
        <w:fldChar w:fldCharType="separate"/>
      </w:r>
      <w:r w:rsidR="00207FE5" w:rsidRPr="00207FE5">
        <w:rPr>
          <w:rFonts w:ascii="Times New Roman" w:hAnsi="Times New Roman"/>
          <w:noProof/>
        </w:rPr>
        <w:t>[10]</w:t>
      </w:r>
      <w:r w:rsidR="00207FE5">
        <w:rPr>
          <w:rFonts w:ascii="Times New Roman" w:hAnsi="Times New Roman"/>
        </w:rPr>
        <w:fldChar w:fldCharType="end"/>
      </w:r>
      <w:r w:rsidRPr="00DF0BEE">
        <w:rPr>
          <w:rFonts w:ascii="Times New Roman" w:hAnsi="Times New Roman"/>
        </w:rPr>
        <w:t xml:space="preserve">. High mathematics anxiety affects student learning achievement or low mathematics learning achievement </w:t>
      </w:r>
      <w:r w:rsidR="00207FE5">
        <w:rPr>
          <w:rFonts w:ascii="Times New Roman" w:hAnsi="Times New Roman"/>
        </w:rPr>
        <w:fldChar w:fldCharType="begin" w:fldLock="1"/>
      </w:r>
      <w:r w:rsidR="00207FE5">
        <w:rPr>
          <w:rFonts w:ascii="Times New Roman" w:hAnsi="Times New Roman"/>
        </w:rPr>
        <w:instrText>ADDIN CSL_CITATION {"citationItems":[{"id":"ITEM-1","itemData":{"author":[{"dropping-particle":"","family":"Wardani","given":"D P","non-dropping-particle":"","parse-names":false,"suffix":""},{"dropping-particle":"","family":"Prabawanto","given":"S","non-dropping-particle":"","parse-names":false,"suffix":""},{"dropping-particle":"","family":"Herman","given":"T","non-dropping-particle":"","parse-names":false,"suffix":""}],"container-title":"International Conference on Mathematics and Science Education: Promoting 21st Century Skills Through Mathematics and Science Education","id":"ITEM-1","issued":{"date-parts":[["2018"]]},"page":"848-852","title":"Analyze the correlation of hafiz qur ' an and yaumiah worship toward the level of math anxiety","type":"article-journal","volume":"3"},"uris":["http://www.mendeley.com/documents/?uuid=a9f62cb2-a455-470b-9022-ec68ff071ae7"]}],"mendeley":{"formattedCitation":"[11]","plainTextFormattedCitation":"[11]","previouslyFormattedCitation":"[11]"},"properties":{"noteIndex":0},"schema":"https://github.com/citation-style-language/schema/raw/master/csl-citation.json"}</w:instrText>
      </w:r>
      <w:r w:rsidR="00207FE5">
        <w:rPr>
          <w:rFonts w:ascii="Times New Roman" w:hAnsi="Times New Roman"/>
        </w:rPr>
        <w:fldChar w:fldCharType="separate"/>
      </w:r>
      <w:r w:rsidR="00207FE5" w:rsidRPr="00207FE5">
        <w:rPr>
          <w:rFonts w:ascii="Times New Roman" w:hAnsi="Times New Roman"/>
          <w:noProof/>
        </w:rPr>
        <w:t>[11]</w:t>
      </w:r>
      <w:r w:rsidR="00207FE5">
        <w:rPr>
          <w:rFonts w:ascii="Times New Roman" w:hAnsi="Times New Roman"/>
        </w:rPr>
        <w:fldChar w:fldCharType="end"/>
      </w:r>
      <w:r w:rsidRPr="00DF0BEE">
        <w:rPr>
          <w:rFonts w:ascii="Times New Roman" w:hAnsi="Times New Roman"/>
        </w:rPr>
        <w:t>. Satisfaction during online learning or distance learning is considered an important factor for student success</w:t>
      </w:r>
      <w:r w:rsidR="00207FE5">
        <w:rPr>
          <w:rFonts w:ascii="Times New Roman" w:hAnsi="Times New Roman"/>
        </w:rPr>
        <w:t xml:space="preserve"> </w:t>
      </w:r>
      <w:r w:rsidR="00207FE5">
        <w:rPr>
          <w:rFonts w:ascii="Times New Roman" w:hAnsi="Times New Roman"/>
        </w:rPr>
        <w:fldChar w:fldCharType="begin" w:fldLock="1"/>
      </w:r>
      <w:r w:rsidR="00207FE5">
        <w:rPr>
          <w:rFonts w:ascii="Times New Roman" w:hAnsi="Times New Roman"/>
        </w:rPr>
        <w:instrText>ADDIN CSL_CITATION {"citationItems":[{"id":"ITEM-1","itemData":{"DOI":"10.1080/01587910902845949","ISSN":"01587919","abstract":"Faculty satisfaction is considered an important factor of quality in online courses. A study was conducted to identify and confirm factors affecting the satisfaction of online faculty at a small research university, and to develop and validate an instrument that can be used to measure perceived faculty satisfaction in the context of the online learning environment. The online faculty satisfaction survey (OFSS) was developed and administered to all instructors who had taught an online course in fall 2007 or spring 2008 at a small research university in the USA. One hundred and two individuals completed the web-based questionnaire. Results confirm that three factors affect satisfaction of faculty in the online environment: student-related, instructor-related, and institution-related factors. © 2009 Open and Distance Learning Association of Australia, Inc.","author":[{"dropping-particle":"","family":"Bolliger","given":"Doris U.","non-dropping-particle":"","parse-names":false,"suffix":""},{"dropping-particle":"","family":"Wasilik","given":"Oksana","non-dropping-particle":"","parse-names":false,"suffix":""}],"container-title":"Distance Education","id":"ITEM-1","issue":"1","issued":{"date-parts":[["2009"]]},"page":"103-116","title":"Factors influencing faculty satisfaction with online teaching and learning in higher education","type":"article-journal","volume":"30"},"uris":["http://www.mendeley.com/documents/?uuid=af8b79be-3394-4213-8f48-ee8ec5169e47"]}],"mendeley":{"formattedCitation":"[12]","plainTextFormattedCitation":"[12]","previouslyFormattedCitation":"[12]"},"properties":{"noteIndex":0},"schema":"https://github.com/citation-style-language/schema/raw/master/csl-citation.json"}</w:instrText>
      </w:r>
      <w:r w:rsidR="00207FE5">
        <w:rPr>
          <w:rFonts w:ascii="Times New Roman" w:hAnsi="Times New Roman"/>
        </w:rPr>
        <w:fldChar w:fldCharType="separate"/>
      </w:r>
      <w:r w:rsidR="00207FE5" w:rsidRPr="00207FE5">
        <w:rPr>
          <w:rFonts w:ascii="Times New Roman" w:hAnsi="Times New Roman"/>
          <w:noProof/>
        </w:rPr>
        <w:t>[12]</w:t>
      </w:r>
      <w:r w:rsidR="00207FE5">
        <w:rPr>
          <w:rFonts w:ascii="Times New Roman" w:hAnsi="Times New Roman"/>
        </w:rPr>
        <w:fldChar w:fldCharType="end"/>
      </w:r>
      <w:r w:rsidRPr="00DF0BEE">
        <w:rPr>
          <w:rFonts w:ascii="Times New Roman" w:hAnsi="Times New Roman"/>
        </w:rPr>
        <w:t>.</w:t>
      </w:r>
    </w:p>
    <w:p w14:paraId="3E6FCC07" w14:textId="03C0574F" w:rsidR="009A0487" w:rsidRPr="00DF0BEE" w:rsidRDefault="004A70C9" w:rsidP="004A70C9">
      <w:pPr>
        <w:pStyle w:val="BodytextIndented"/>
        <w:rPr>
          <w:rFonts w:ascii="Times New Roman" w:hAnsi="Times New Roman"/>
        </w:rPr>
      </w:pPr>
      <w:r w:rsidRPr="00DF0BEE">
        <w:rPr>
          <w:rFonts w:ascii="Times New Roman" w:hAnsi="Times New Roman"/>
        </w:rPr>
        <w:t xml:space="preserve">Based on the description of the problems described in the previous paragraph, this study offers a solution </w:t>
      </w:r>
      <w:r w:rsidR="00375446" w:rsidRPr="00DF0BEE">
        <w:rPr>
          <w:rFonts w:ascii="Times New Roman" w:hAnsi="Times New Roman"/>
        </w:rPr>
        <w:t xml:space="preserve">by </w:t>
      </w:r>
      <w:r w:rsidRPr="00DF0BEE">
        <w:rPr>
          <w:rFonts w:ascii="Times New Roman" w:hAnsi="Times New Roman"/>
        </w:rPr>
        <w:t xml:space="preserve">using </w:t>
      </w:r>
      <w:proofErr w:type="spellStart"/>
      <w:r w:rsidR="00375446" w:rsidRPr="00DF0BEE">
        <w:rPr>
          <w:rFonts w:ascii="Times New Roman" w:hAnsi="Times New Roman"/>
        </w:rPr>
        <w:t>PhET</w:t>
      </w:r>
      <w:proofErr w:type="spellEnd"/>
      <w:r w:rsidR="00375446" w:rsidRPr="00DF0BEE">
        <w:rPr>
          <w:rFonts w:ascii="Times New Roman" w:hAnsi="Times New Roman"/>
        </w:rPr>
        <w:t xml:space="preserve"> </w:t>
      </w:r>
      <w:r w:rsidRPr="00DF0BEE">
        <w:rPr>
          <w:rFonts w:ascii="Times New Roman" w:hAnsi="Times New Roman"/>
        </w:rPr>
        <w:t xml:space="preserve">interactive simulation to improve students' mathematical understanding and reasoning skills in learning mathematics. </w:t>
      </w:r>
    </w:p>
    <w:p w14:paraId="61F30142" w14:textId="03247C62" w:rsidR="009A0487" w:rsidRPr="00DF0BEE" w:rsidRDefault="004A70C9">
      <w:pPr>
        <w:pStyle w:val="Section"/>
        <w:rPr>
          <w:rFonts w:ascii="Times New Roman" w:hAnsi="Times New Roman"/>
        </w:rPr>
      </w:pPr>
      <w:r w:rsidRPr="00DF0BEE">
        <w:rPr>
          <w:rFonts w:ascii="Times New Roman" w:hAnsi="Times New Roman"/>
        </w:rPr>
        <w:t>Method</w:t>
      </w:r>
    </w:p>
    <w:p w14:paraId="038E43BF" w14:textId="1A46088D" w:rsidR="00AA4E0A" w:rsidRPr="00DF0BEE" w:rsidRDefault="00AA4E0A" w:rsidP="00AA4E0A">
      <w:pPr>
        <w:pStyle w:val="Heading2"/>
        <w:rPr>
          <w:rFonts w:ascii="Times New Roman" w:hAnsi="Times New Roman"/>
        </w:rPr>
      </w:pPr>
      <w:r w:rsidRPr="00DF0BEE">
        <w:rPr>
          <w:rFonts w:ascii="Times New Roman" w:hAnsi="Times New Roman"/>
        </w:rPr>
        <w:t>Research Design</w:t>
      </w:r>
    </w:p>
    <w:p w14:paraId="2782102C" w14:textId="05E90F34" w:rsidR="009A0487" w:rsidRPr="00DF0BEE" w:rsidRDefault="00AA4E0A">
      <w:pPr>
        <w:pStyle w:val="Bodytext"/>
        <w:rPr>
          <w:rFonts w:ascii="Times New Roman" w:hAnsi="Times New Roman"/>
        </w:rPr>
      </w:pPr>
      <w:r w:rsidRPr="00DF0BEE">
        <w:rPr>
          <w:rFonts w:ascii="Times New Roman" w:hAnsi="Times New Roman"/>
        </w:rPr>
        <w:t xml:space="preserve">A quasi-experimental study was conducted to answer the research questions. There were two research groups of 3rd-Grade students participating in this research. One group was conducting mathematics learning using </w:t>
      </w:r>
      <w:proofErr w:type="spellStart"/>
      <w:r w:rsidR="00375446" w:rsidRPr="00DF0BEE">
        <w:rPr>
          <w:rFonts w:ascii="Times New Roman" w:hAnsi="Times New Roman"/>
        </w:rPr>
        <w:t>PhET</w:t>
      </w:r>
      <w:proofErr w:type="spellEnd"/>
      <w:r w:rsidR="00375446" w:rsidRPr="00DF0BEE">
        <w:rPr>
          <w:rFonts w:ascii="Times New Roman" w:hAnsi="Times New Roman"/>
        </w:rPr>
        <w:t xml:space="preserve"> Interactive Simulation</w:t>
      </w:r>
      <w:r w:rsidRPr="00DF0BEE">
        <w:rPr>
          <w:rFonts w:ascii="Times New Roman" w:hAnsi="Times New Roman"/>
        </w:rPr>
        <w:t>, and the other one conducting mathematics learning through normal teaching.</w:t>
      </w:r>
      <w:r w:rsidR="009A0487" w:rsidRPr="00DF0BEE">
        <w:rPr>
          <w:rFonts w:ascii="Times New Roman" w:hAnsi="Times New Roman"/>
        </w:rPr>
        <w:t xml:space="preserve"> </w:t>
      </w:r>
      <w:r w:rsidRPr="00DF0BEE">
        <w:rPr>
          <w:rFonts w:ascii="Times New Roman" w:hAnsi="Times New Roman"/>
        </w:rPr>
        <w:t xml:space="preserve">In particular, the research design presented in </w:t>
      </w:r>
      <w:proofErr w:type="spellStart"/>
      <w:r w:rsidRPr="00DF0BEE">
        <w:rPr>
          <w:rFonts w:ascii="Times New Roman" w:hAnsi="Times New Roman"/>
        </w:rPr>
        <w:t>Tabel</w:t>
      </w:r>
      <w:proofErr w:type="spellEnd"/>
      <w:r w:rsidRPr="00DF0BEE">
        <w:rPr>
          <w:rFonts w:ascii="Times New Roman" w:hAnsi="Times New Roman"/>
        </w:rPr>
        <w:t xml:space="preserve"> 1.</w:t>
      </w:r>
    </w:p>
    <w:p w14:paraId="345C2C23" w14:textId="41B19C7A" w:rsidR="00AA4E0A" w:rsidRPr="00DF0BEE" w:rsidRDefault="00AA4E0A" w:rsidP="00AA4E0A">
      <w:pPr>
        <w:pStyle w:val="BodytextIndented"/>
        <w:jc w:val="center"/>
        <w:rPr>
          <w:rFonts w:ascii="Times New Roman" w:hAnsi="Times New Roman"/>
        </w:rPr>
      </w:pPr>
      <w:proofErr w:type="spellStart"/>
      <w:r w:rsidRPr="00DF0BEE">
        <w:rPr>
          <w:rFonts w:ascii="Times New Roman" w:hAnsi="Times New Roman"/>
          <w:b/>
          <w:bCs/>
        </w:rPr>
        <w:t>Tabel</w:t>
      </w:r>
      <w:proofErr w:type="spellEnd"/>
      <w:r w:rsidRPr="00DF0BEE">
        <w:rPr>
          <w:rFonts w:ascii="Times New Roman" w:hAnsi="Times New Roman"/>
          <w:b/>
          <w:bCs/>
        </w:rPr>
        <w:t xml:space="preserve"> 1.</w:t>
      </w:r>
      <w:r w:rsidRPr="00DF0BEE">
        <w:rPr>
          <w:rFonts w:ascii="Times New Roman" w:hAnsi="Times New Roman"/>
        </w:rPr>
        <w:t xml:space="preserve"> Quasi Experiment Control Group Pre-Test and Post-Test Design</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4"/>
        <w:gridCol w:w="2294"/>
        <w:gridCol w:w="2294"/>
        <w:gridCol w:w="2295"/>
      </w:tblGrid>
      <w:tr w:rsidR="00AA4E0A" w:rsidRPr="00DF0BEE" w14:paraId="737AE556" w14:textId="77777777" w:rsidTr="00AA4E0A">
        <w:trPr>
          <w:trHeight w:val="272"/>
        </w:trPr>
        <w:tc>
          <w:tcPr>
            <w:tcW w:w="2294" w:type="dxa"/>
            <w:tcBorders>
              <w:top w:val="single" w:sz="4" w:space="0" w:color="auto"/>
              <w:bottom w:val="single" w:sz="4" w:space="0" w:color="auto"/>
            </w:tcBorders>
          </w:tcPr>
          <w:p w14:paraId="46A20CCF" w14:textId="0EED8A0B" w:rsidR="00AA4E0A" w:rsidRPr="00DF0BEE" w:rsidRDefault="00AA4E0A" w:rsidP="00AA4E0A">
            <w:pPr>
              <w:pStyle w:val="BodytextIndented"/>
              <w:ind w:firstLine="0"/>
              <w:jc w:val="center"/>
              <w:rPr>
                <w:rFonts w:ascii="Times New Roman" w:hAnsi="Times New Roman"/>
                <w:b/>
                <w:bCs/>
              </w:rPr>
            </w:pPr>
            <w:r w:rsidRPr="00DF0BEE">
              <w:rPr>
                <w:rFonts w:ascii="Times New Roman" w:hAnsi="Times New Roman"/>
                <w:b/>
                <w:bCs/>
              </w:rPr>
              <w:t>Group</w:t>
            </w:r>
          </w:p>
        </w:tc>
        <w:tc>
          <w:tcPr>
            <w:tcW w:w="2294" w:type="dxa"/>
            <w:tcBorders>
              <w:top w:val="single" w:sz="4" w:space="0" w:color="auto"/>
              <w:bottom w:val="single" w:sz="4" w:space="0" w:color="auto"/>
            </w:tcBorders>
          </w:tcPr>
          <w:p w14:paraId="51D23B56" w14:textId="0838229E" w:rsidR="00AA4E0A" w:rsidRPr="00DF0BEE" w:rsidRDefault="00AA4E0A" w:rsidP="00AA4E0A">
            <w:pPr>
              <w:pStyle w:val="BodytextIndented"/>
              <w:ind w:firstLine="0"/>
              <w:jc w:val="center"/>
              <w:rPr>
                <w:rFonts w:ascii="Times New Roman" w:hAnsi="Times New Roman"/>
                <w:b/>
                <w:bCs/>
              </w:rPr>
            </w:pPr>
            <w:r w:rsidRPr="00DF0BEE">
              <w:rPr>
                <w:rFonts w:ascii="Times New Roman" w:hAnsi="Times New Roman"/>
                <w:b/>
                <w:bCs/>
              </w:rPr>
              <w:t>Pre-test</w:t>
            </w:r>
          </w:p>
        </w:tc>
        <w:tc>
          <w:tcPr>
            <w:tcW w:w="2294" w:type="dxa"/>
            <w:tcBorders>
              <w:top w:val="single" w:sz="4" w:space="0" w:color="auto"/>
              <w:bottom w:val="single" w:sz="4" w:space="0" w:color="auto"/>
            </w:tcBorders>
          </w:tcPr>
          <w:p w14:paraId="093B3FCB" w14:textId="2256DB41" w:rsidR="00AA4E0A" w:rsidRPr="00DF0BEE" w:rsidRDefault="00AA4E0A" w:rsidP="00AA4E0A">
            <w:pPr>
              <w:pStyle w:val="BodytextIndented"/>
              <w:ind w:firstLine="0"/>
              <w:jc w:val="center"/>
              <w:rPr>
                <w:rFonts w:ascii="Times New Roman" w:hAnsi="Times New Roman"/>
                <w:b/>
                <w:bCs/>
              </w:rPr>
            </w:pPr>
            <w:r w:rsidRPr="00DF0BEE">
              <w:rPr>
                <w:rFonts w:ascii="Times New Roman" w:hAnsi="Times New Roman"/>
                <w:b/>
                <w:bCs/>
              </w:rPr>
              <w:t>Treatment</w:t>
            </w:r>
          </w:p>
        </w:tc>
        <w:tc>
          <w:tcPr>
            <w:tcW w:w="2295" w:type="dxa"/>
            <w:tcBorders>
              <w:top w:val="single" w:sz="4" w:space="0" w:color="auto"/>
              <w:bottom w:val="single" w:sz="4" w:space="0" w:color="auto"/>
            </w:tcBorders>
          </w:tcPr>
          <w:p w14:paraId="410AF14A" w14:textId="225C4758" w:rsidR="00AA4E0A" w:rsidRPr="00DF0BEE" w:rsidRDefault="00AA4E0A" w:rsidP="00AA4E0A">
            <w:pPr>
              <w:pStyle w:val="BodytextIndented"/>
              <w:ind w:firstLine="0"/>
              <w:jc w:val="center"/>
              <w:rPr>
                <w:rFonts w:ascii="Times New Roman" w:hAnsi="Times New Roman"/>
                <w:b/>
                <w:bCs/>
              </w:rPr>
            </w:pPr>
            <w:proofErr w:type="spellStart"/>
            <w:r w:rsidRPr="00DF0BEE">
              <w:rPr>
                <w:rFonts w:ascii="Times New Roman" w:hAnsi="Times New Roman"/>
                <w:b/>
                <w:bCs/>
              </w:rPr>
              <w:t>Poat</w:t>
            </w:r>
            <w:proofErr w:type="spellEnd"/>
            <w:r w:rsidRPr="00DF0BEE">
              <w:rPr>
                <w:rFonts w:ascii="Times New Roman" w:hAnsi="Times New Roman"/>
                <w:b/>
                <w:bCs/>
              </w:rPr>
              <w:t>-test</w:t>
            </w:r>
          </w:p>
        </w:tc>
      </w:tr>
      <w:tr w:rsidR="00AA4E0A" w:rsidRPr="00DF0BEE" w14:paraId="57E712B3" w14:textId="77777777" w:rsidTr="00AA4E0A">
        <w:trPr>
          <w:trHeight w:val="283"/>
        </w:trPr>
        <w:tc>
          <w:tcPr>
            <w:tcW w:w="2294" w:type="dxa"/>
            <w:tcBorders>
              <w:top w:val="single" w:sz="4" w:space="0" w:color="auto"/>
            </w:tcBorders>
          </w:tcPr>
          <w:p w14:paraId="4CBD00E3" w14:textId="369B3AA9" w:rsidR="00AA4E0A" w:rsidRPr="00DF0BEE" w:rsidRDefault="00AA4E0A" w:rsidP="00AA4E0A">
            <w:pPr>
              <w:pStyle w:val="BodytextIndented"/>
              <w:ind w:firstLine="0"/>
              <w:jc w:val="center"/>
              <w:rPr>
                <w:rFonts w:ascii="Times New Roman" w:hAnsi="Times New Roman"/>
              </w:rPr>
            </w:pPr>
            <w:r w:rsidRPr="00DF0BEE">
              <w:rPr>
                <w:rFonts w:ascii="Times New Roman" w:hAnsi="Times New Roman"/>
              </w:rPr>
              <w:t>Experiment</w:t>
            </w:r>
          </w:p>
        </w:tc>
        <w:tc>
          <w:tcPr>
            <w:tcW w:w="2294" w:type="dxa"/>
            <w:tcBorders>
              <w:top w:val="single" w:sz="4" w:space="0" w:color="auto"/>
            </w:tcBorders>
          </w:tcPr>
          <w:p w14:paraId="09D7ECFE" w14:textId="59DFD7C9" w:rsidR="00AA4E0A" w:rsidRPr="00DF0BEE" w:rsidRDefault="00AA4E0A" w:rsidP="00AA4E0A">
            <w:pPr>
              <w:pStyle w:val="BodytextIndented"/>
              <w:ind w:firstLine="0"/>
              <w:jc w:val="center"/>
              <w:rPr>
                <w:rFonts w:ascii="Times New Roman" w:hAnsi="Times New Roman"/>
                <w:vertAlign w:val="subscript"/>
              </w:rPr>
            </w:pPr>
            <w:r w:rsidRPr="00DF0BEE">
              <w:rPr>
                <w:rFonts w:ascii="Times New Roman" w:hAnsi="Times New Roman"/>
              </w:rPr>
              <w:t>O</w:t>
            </w:r>
            <w:r w:rsidRPr="00DF0BEE">
              <w:rPr>
                <w:rFonts w:ascii="Times New Roman" w:hAnsi="Times New Roman"/>
                <w:vertAlign w:val="subscript"/>
              </w:rPr>
              <w:t>1</w:t>
            </w:r>
          </w:p>
        </w:tc>
        <w:tc>
          <w:tcPr>
            <w:tcW w:w="2294" w:type="dxa"/>
            <w:tcBorders>
              <w:top w:val="single" w:sz="4" w:space="0" w:color="auto"/>
            </w:tcBorders>
          </w:tcPr>
          <w:p w14:paraId="3BAB8EA9" w14:textId="17DEF9D8" w:rsidR="00AA4E0A" w:rsidRPr="00DF0BEE" w:rsidRDefault="00375446" w:rsidP="00AA4E0A">
            <w:pPr>
              <w:pStyle w:val="BodytextIndented"/>
              <w:ind w:firstLine="0"/>
              <w:jc w:val="center"/>
              <w:rPr>
                <w:rFonts w:ascii="Times New Roman" w:hAnsi="Times New Roman"/>
              </w:rPr>
            </w:pPr>
            <w:proofErr w:type="spellStart"/>
            <w:r w:rsidRPr="00DF0BEE">
              <w:rPr>
                <w:rFonts w:ascii="Times New Roman" w:hAnsi="Times New Roman"/>
              </w:rPr>
              <w:t>PhET</w:t>
            </w:r>
            <w:proofErr w:type="spellEnd"/>
          </w:p>
        </w:tc>
        <w:tc>
          <w:tcPr>
            <w:tcW w:w="2295" w:type="dxa"/>
            <w:tcBorders>
              <w:top w:val="single" w:sz="4" w:space="0" w:color="auto"/>
            </w:tcBorders>
          </w:tcPr>
          <w:p w14:paraId="3F8CC0B0" w14:textId="1F40F47F" w:rsidR="00AA4E0A" w:rsidRPr="00DF0BEE" w:rsidRDefault="00AA4E0A" w:rsidP="00AA4E0A">
            <w:pPr>
              <w:pStyle w:val="BodytextIndented"/>
              <w:ind w:firstLine="0"/>
              <w:jc w:val="center"/>
              <w:rPr>
                <w:rFonts w:ascii="Times New Roman" w:hAnsi="Times New Roman"/>
              </w:rPr>
            </w:pPr>
            <w:r w:rsidRPr="00DF0BEE">
              <w:rPr>
                <w:rFonts w:ascii="Times New Roman" w:hAnsi="Times New Roman"/>
              </w:rPr>
              <w:t>O</w:t>
            </w:r>
            <w:r w:rsidRPr="00DF0BEE">
              <w:rPr>
                <w:rFonts w:ascii="Times New Roman" w:hAnsi="Times New Roman"/>
                <w:vertAlign w:val="subscript"/>
              </w:rPr>
              <w:t>2</w:t>
            </w:r>
          </w:p>
        </w:tc>
      </w:tr>
      <w:tr w:rsidR="00AA4E0A" w:rsidRPr="00DF0BEE" w14:paraId="11D1A809" w14:textId="77777777" w:rsidTr="00AA4E0A">
        <w:trPr>
          <w:trHeight w:val="272"/>
        </w:trPr>
        <w:tc>
          <w:tcPr>
            <w:tcW w:w="2294" w:type="dxa"/>
          </w:tcPr>
          <w:p w14:paraId="56C544E0" w14:textId="26A2540D" w:rsidR="00AA4E0A" w:rsidRPr="00DF0BEE" w:rsidRDefault="00AA4E0A" w:rsidP="00AA4E0A">
            <w:pPr>
              <w:pStyle w:val="BodytextIndented"/>
              <w:ind w:firstLine="0"/>
              <w:jc w:val="center"/>
              <w:rPr>
                <w:rFonts w:ascii="Times New Roman" w:hAnsi="Times New Roman"/>
              </w:rPr>
            </w:pPr>
            <w:r w:rsidRPr="00DF0BEE">
              <w:rPr>
                <w:rFonts w:ascii="Times New Roman" w:hAnsi="Times New Roman"/>
              </w:rPr>
              <w:t>Control</w:t>
            </w:r>
          </w:p>
        </w:tc>
        <w:tc>
          <w:tcPr>
            <w:tcW w:w="2294" w:type="dxa"/>
          </w:tcPr>
          <w:p w14:paraId="68F03C22" w14:textId="2C5E2A69" w:rsidR="00AA4E0A" w:rsidRPr="00DF0BEE" w:rsidRDefault="00AA4E0A" w:rsidP="00AA4E0A">
            <w:pPr>
              <w:pStyle w:val="BodytextIndented"/>
              <w:ind w:firstLine="0"/>
              <w:jc w:val="center"/>
              <w:rPr>
                <w:rFonts w:ascii="Times New Roman" w:hAnsi="Times New Roman"/>
              </w:rPr>
            </w:pPr>
            <w:r w:rsidRPr="00DF0BEE">
              <w:rPr>
                <w:rFonts w:ascii="Times New Roman" w:hAnsi="Times New Roman"/>
              </w:rPr>
              <w:t>O</w:t>
            </w:r>
            <w:r w:rsidRPr="00DF0BEE">
              <w:rPr>
                <w:rFonts w:ascii="Times New Roman" w:hAnsi="Times New Roman"/>
                <w:vertAlign w:val="subscript"/>
              </w:rPr>
              <w:t>1</w:t>
            </w:r>
          </w:p>
        </w:tc>
        <w:tc>
          <w:tcPr>
            <w:tcW w:w="2294" w:type="dxa"/>
          </w:tcPr>
          <w:p w14:paraId="633FE0BB" w14:textId="3E5C605F" w:rsidR="00AA4E0A" w:rsidRPr="00DF0BEE" w:rsidRDefault="00AA4E0A" w:rsidP="00AA4E0A">
            <w:pPr>
              <w:pStyle w:val="BodytextIndented"/>
              <w:ind w:firstLine="0"/>
              <w:jc w:val="center"/>
              <w:rPr>
                <w:rFonts w:ascii="Times New Roman" w:hAnsi="Times New Roman"/>
              </w:rPr>
            </w:pPr>
            <w:proofErr w:type="spellStart"/>
            <w:r w:rsidRPr="00DF0BEE">
              <w:rPr>
                <w:rFonts w:ascii="Times New Roman" w:hAnsi="Times New Roman"/>
              </w:rPr>
              <w:t>Powerpoint</w:t>
            </w:r>
            <w:proofErr w:type="spellEnd"/>
          </w:p>
        </w:tc>
        <w:tc>
          <w:tcPr>
            <w:tcW w:w="2295" w:type="dxa"/>
          </w:tcPr>
          <w:p w14:paraId="249D53DB" w14:textId="5E8D8ACD" w:rsidR="00AA4E0A" w:rsidRPr="00DF0BEE" w:rsidRDefault="00AA4E0A" w:rsidP="00AA4E0A">
            <w:pPr>
              <w:pStyle w:val="BodytextIndented"/>
              <w:ind w:firstLine="0"/>
              <w:jc w:val="center"/>
              <w:rPr>
                <w:rFonts w:ascii="Times New Roman" w:hAnsi="Times New Roman"/>
              </w:rPr>
            </w:pPr>
            <w:r w:rsidRPr="00DF0BEE">
              <w:rPr>
                <w:rFonts w:ascii="Times New Roman" w:hAnsi="Times New Roman"/>
              </w:rPr>
              <w:t>O</w:t>
            </w:r>
            <w:r w:rsidRPr="00DF0BEE">
              <w:rPr>
                <w:rFonts w:ascii="Times New Roman" w:hAnsi="Times New Roman"/>
                <w:vertAlign w:val="subscript"/>
              </w:rPr>
              <w:t>2</w:t>
            </w:r>
          </w:p>
        </w:tc>
      </w:tr>
    </w:tbl>
    <w:p w14:paraId="797A575E" w14:textId="351FD288" w:rsidR="00AA4E0A" w:rsidRPr="00DF0BEE" w:rsidRDefault="00AA4E0A" w:rsidP="00AA4E0A">
      <w:pPr>
        <w:pStyle w:val="Subsection"/>
        <w:rPr>
          <w:rFonts w:ascii="Times New Roman" w:hAnsi="Times New Roman"/>
          <w:i/>
          <w:iCs w:val="0"/>
        </w:rPr>
      </w:pPr>
      <w:r w:rsidRPr="00DF0BEE">
        <w:rPr>
          <w:rFonts w:ascii="Times New Roman" w:hAnsi="Times New Roman"/>
          <w:i/>
          <w:iCs w:val="0"/>
        </w:rPr>
        <w:t xml:space="preserve">Participants </w:t>
      </w:r>
    </w:p>
    <w:p w14:paraId="20DC7AD5" w14:textId="035D42DE" w:rsidR="005C5D81" w:rsidRPr="00DF0BEE" w:rsidRDefault="00B31732" w:rsidP="005C5D81">
      <w:pPr>
        <w:pStyle w:val="Bodytext"/>
        <w:rPr>
          <w:rFonts w:ascii="Times New Roman" w:hAnsi="Times New Roman"/>
          <w:lang w:val="en-GB"/>
        </w:rPr>
      </w:pPr>
      <w:r w:rsidRPr="00DF0BEE">
        <w:rPr>
          <w:rStyle w:val="fontstyle01"/>
          <w:rFonts w:ascii="Times New Roman" w:hAnsi="Times New Roman"/>
        </w:rPr>
        <w:t xml:space="preserve">Two groups </w:t>
      </w:r>
      <w:r w:rsidR="009671B5" w:rsidRPr="00DF0BEE">
        <w:rPr>
          <w:rStyle w:val="fontstyle01"/>
          <w:rFonts w:ascii="Times New Roman" w:hAnsi="Times New Roman"/>
        </w:rPr>
        <w:t>(each 2</w:t>
      </w:r>
      <w:r w:rsidR="00375446" w:rsidRPr="00DF0BEE">
        <w:rPr>
          <w:rStyle w:val="fontstyle01"/>
          <w:rFonts w:ascii="Times New Roman" w:hAnsi="Times New Roman"/>
        </w:rPr>
        <w:t>4</w:t>
      </w:r>
      <w:r w:rsidR="009671B5" w:rsidRPr="00DF0BEE">
        <w:rPr>
          <w:rStyle w:val="fontstyle01"/>
          <w:rFonts w:ascii="Times New Roman" w:hAnsi="Times New Roman"/>
        </w:rPr>
        <w:t xml:space="preserve">) of </w:t>
      </w:r>
      <w:r w:rsidR="00375446" w:rsidRPr="00DF0BEE">
        <w:rPr>
          <w:rStyle w:val="fontstyle01"/>
          <w:rFonts w:ascii="Times New Roman" w:hAnsi="Times New Roman"/>
        </w:rPr>
        <w:t>fourth-grade</w:t>
      </w:r>
      <w:r w:rsidRPr="00DF0BEE">
        <w:rPr>
          <w:rStyle w:val="fontstyle01"/>
          <w:rFonts w:ascii="Times New Roman" w:hAnsi="Times New Roman"/>
        </w:rPr>
        <w:t xml:space="preserve"> students (9 to 10 years old), who were learning </w:t>
      </w:r>
      <w:r w:rsidR="009671B5" w:rsidRPr="00DF0BEE">
        <w:rPr>
          <w:rStyle w:val="fontstyle01"/>
          <w:rFonts w:ascii="Times New Roman" w:hAnsi="Times New Roman"/>
        </w:rPr>
        <w:t>fractions</w:t>
      </w:r>
      <w:r w:rsidRPr="00DF0BEE">
        <w:rPr>
          <w:rStyle w:val="fontstyle01"/>
          <w:rFonts w:ascii="Times New Roman" w:hAnsi="Times New Roman"/>
        </w:rPr>
        <w:t xml:space="preserve"> in the school participated in this quasi-experimental study. The two</w:t>
      </w:r>
      <w:r w:rsidR="009671B5" w:rsidRPr="00DF0BEE">
        <w:rPr>
          <w:rFonts w:ascii="Times New Roman" w:hAnsi="Times New Roman"/>
        </w:rPr>
        <w:t xml:space="preserve"> </w:t>
      </w:r>
      <w:r w:rsidRPr="00DF0BEE">
        <w:rPr>
          <w:rStyle w:val="fontstyle01"/>
          <w:rFonts w:ascii="Times New Roman" w:hAnsi="Times New Roman"/>
        </w:rPr>
        <w:t xml:space="preserve">classes of the participants were located </w:t>
      </w:r>
      <w:r w:rsidR="00375446" w:rsidRPr="00DF0BEE">
        <w:rPr>
          <w:rStyle w:val="fontstyle01"/>
          <w:rFonts w:ascii="Times New Roman" w:hAnsi="Times New Roman"/>
        </w:rPr>
        <w:t>in an</w:t>
      </w:r>
      <w:r w:rsidRPr="00DF0BEE">
        <w:rPr>
          <w:rStyle w:val="fontstyle01"/>
          <w:rFonts w:ascii="Times New Roman" w:hAnsi="Times New Roman"/>
        </w:rPr>
        <w:t xml:space="preserve"> elementary school in </w:t>
      </w:r>
      <w:proofErr w:type="spellStart"/>
      <w:r w:rsidRPr="00DF0BEE">
        <w:rPr>
          <w:rStyle w:val="fontstyle01"/>
          <w:rFonts w:ascii="Times New Roman" w:hAnsi="Times New Roman"/>
        </w:rPr>
        <w:t>Kuningan</w:t>
      </w:r>
      <w:proofErr w:type="spellEnd"/>
      <w:r w:rsidRPr="00DF0BEE">
        <w:rPr>
          <w:rStyle w:val="fontstyle01"/>
          <w:rFonts w:ascii="Times New Roman" w:hAnsi="Times New Roman"/>
        </w:rPr>
        <w:t>, Indonesia</w:t>
      </w:r>
    </w:p>
    <w:p w14:paraId="451BFD81" w14:textId="517BBA0A" w:rsidR="00AA4E0A" w:rsidRPr="00DF0BEE" w:rsidRDefault="009671B5" w:rsidP="009671B5">
      <w:pPr>
        <w:pStyle w:val="Subsection"/>
        <w:rPr>
          <w:rFonts w:ascii="Times New Roman" w:hAnsi="Times New Roman"/>
        </w:rPr>
      </w:pPr>
      <w:r w:rsidRPr="00DF0BEE">
        <w:rPr>
          <w:rFonts w:ascii="Times New Roman" w:hAnsi="Times New Roman"/>
          <w:i/>
          <w:iCs w:val="0"/>
        </w:rPr>
        <w:t xml:space="preserve">Intervention </w:t>
      </w:r>
    </w:p>
    <w:p w14:paraId="129CE69B" w14:textId="28320DBC" w:rsidR="009671B5" w:rsidRPr="00DF0BEE" w:rsidRDefault="009671B5" w:rsidP="009671B5">
      <w:pPr>
        <w:pStyle w:val="Bodytext"/>
        <w:rPr>
          <w:rStyle w:val="fontstyle01"/>
          <w:rFonts w:ascii="Times New Roman" w:hAnsi="Times New Roman"/>
        </w:rPr>
      </w:pPr>
      <w:r w:rsidRPr="00DF0BEE">
        <w:rPr>
          <w:rStyle w:val="fontstyle01"/>
          <w:rFonts w:ascii="Times New Roman" w:hAnsi="Times New Roman"/>
        </w:rPr>
        <w:t>The instructional design in the experimental group was delivered by the first author while the</w:t>
      </w:r>
      <w:r w:rsidRPr="00DF0BEE">
        <w:rPr>
          <w:rFonts w:ascii="Times New Roman" w:hAnsi="Times New Roman"/>
        </w:rPr>
        <w:br/>
      </w:r>
      <w:r w:rsidRPr="00DF0BEE">
        <w:rPr>
          <w:rStyle w:val="fontstyle01"/>
          <w:rFonts w:ascii="Times New Roman" w:hAnsi="Times New Roman"/>
        </w:rPr>
        <w:t xml:space="preserve">students in the control group delivered by the teacher. The experimental group was conducting mathematics learning using </w:t>
      </w:r>
      <w:proofErr w:type="spellStart"/>
      <w:r w:rsidR="00375446" w:rsidRPr="00DF0BEE">
        <w:rPr>
          <w:rStyle w:val="fontstyle01"/>
          <w:rFonts w:ascii="Times New Roman" w:hAnsi="Times New Roman"/>
        </w:rPr>
        <w:t>PhET</w:t>
      </w:r>
      <w:proofErr w:type="spellEnd"/>
      <w:r w:rsidR="00375446" w:rsidRPr="00DF0BEE">
        <w:rPr>
          <w:rStyle w:val="fontstyle01"/>
          <w:rFonts w:ascii="Times New Roman" w:hAnsi="Times New Roman"/>
        </w:rPr>
        <w:t xml:space="preserve"> interactive simulation</w:t>
      </w:r>
      <w:r w:rsidRPr="00DF0BEE">
        <w:rPr>
          <w:rStyle w:val="fontstyle01"/>
          <w:rFonts w:ascii="Times New Roman" w:hAnsi="Times New Roman"/>
        </w:rPr>
        <w:t>, and the control group was conducting mathematics</w:t>
      </w:r>
      <w:r w:rsidRPr="00DF0BEE">
        <w:rPr>
          <w:rFonts w:ascii="Times New Roman" w:hAnsi="Times New Roman"/>
        </w:rPr>
        <w:t xml:space="preserve"> </w:t>
      </w:r>
      <w:r w:rsidRPr="00DF0BEE">
        <w:rPr>
          <w:rStyle w:val="fontstyle01"/>
          <w:rFonts w:ascii="Times New Roman" w:hAnsi="Times New Roman"/>
        </w:rPr>
        <w:t xml:space="preserve">using </w:t>
      </w:r>
      <w:r w:rsidR="00375446" w:rsidRPr="00DF0BEE">
        <w:rPr>
          <w:rStyle w:val="fontstyle01"/>
          <w:rFonts w:ascii="Times New Roman" w:hAnsi="Times New Roman"/>
        </w:rPr>
        <w:t>PowerPoint</w:t>
      </w:r>
      <w:r w:rsidRPr="00DF0BEE">
        <w:rPr>
          <w:rStyle w:val="fontstyle01"/>
          <w:rFonts w:ascii="Times New Roman" w:hAnsi="Times New Roman"/>
        </w:rPr>
        <w:t xml:space="preserve">. The treatment in each group was conducted in three </w:t>
      </w:r>
      <w:r w:rsidR="00375446" w:rsidRPr="00DF0BEE">
        <w:rPr>
          <w:rStyle w:val="fontstyle01"/>
          <w:rFonts w:ascii="Times New Roman" w:hAnsi="Times New Roman"/>
        </w:rPr>
        <w:t>time series</w:t>
      </w:r>
      <w:r w:rsidRPr="00DF0BEE">
        <w:rPr>
          <w:rStyle w:val="fontstyle01"/>
          <w:rFonts w:ascii="Times New Roman" w:hAnsi="Times New Roman"/>
        </w:rPr>
        <w:t xml:space="preserve"> of a mathematics lesson, 3 x 150 minutes. The lesson plan was developed to deliver mathematics</w:t>
      </w:r>
      <w:r w:rsidRPr="00DF0BEE">
        <w:rPr>
          <w:rFonts w:ascii="Times New Roman" w:hAnsi="Times New Roman"/>
        </w:rPr>
        <w:t xml:space="preserve"> </w:t>
      </w:r>
      <w:r w:rsidRPr="00DF0BEE">
        <w:rPr>
          <w:rStyle w:val="fontstyle01"/>
          <w:rFonts w:ascii="Times New Roman" w:hAnsi="Times New Roman"/>
        </w:rPr>
        <w:t>learning on the topic of fractions.</w:t>
      </w:r>
    </w:p>
    <w:p w14:paraId="6B603E9D" w14:textId="3BD42A92" w:rsidR="009671B5" w:rsidRPr="00DF0BEE" w:rsidRDefault="009671B5" w:rsidP="009671B5">
      <w:pPr>
        <w:pStyle w:val="Subsection"/>
        <w:rPr>
          <w:rFonts w:ascii="Times New Roman" w:hAnsi="Times New Roman"/>
        </w:rPr>
      </w:pPr>
      <w:r w:rsidRPr="00DF0BEE">
        <w:rPr>
          <w:rFonts w:ascii="Times New Roman" w:hAnsi="Times New Roman"/>
          <w:i/>
          <w:iCs w:val="0"/>
        </w:rPr>
        <w:t xml:space="preserve">Data Analysis </w:t>
      </w:r>
    </w:p>
    <w:p w14:paraId="5571F708" w14:textId="1A9E5A7E" w:rsidR="009671B5" w:rsidRPr="00DF0BEE" w:rsidRDefault="009D53B7" w:rsidP="009671B5">
      <w:pPr>
        <w:pStyle w:val="Bodytext"/>
        <w:rPr>
          <w:rStyle w:val="fontstyle01"/>
          <w:rFonts w:ascii="Times New Roman" w:hAnsi="Times New Roman"/>
        </w:rPr>
      </w:pPr>
      <w:r w:rsidRPr="00DF0BEE">
        <w:rPr>
          <w:rStyle w:val="fontstyle01"/>
          <w:rFonts w:ascii="Times New Roman" w:hAnsi="Times New Roman"/>
        </w:rPr>
        <w:t xml:space="preserve">Statistical analysis of the quantitative data was conducted using </w:t>
      </w:r>
      <w:r w:rsidR="00375446" w:rsidRPr="00DF0BEE">
        <w:rPr>
          <w:rStyle w:val="fontstyle01"/>
          <w:rFonts w:ascii="Times New Roman" w:hAnsi="Times New Roman"/>
          <w:i/>
          <w:iCs w:val="0"/>
        </w:rPr>
        <w:t>independent sample t-test</w:t>
      </w:r>
      <w:r w:rsidRPr="00DF0BEE">
        <w:rPr>
          <w:rStyle w:val="fontstyle01"/>
          <w:rFonts w:ascii="Times New Roman" w:hAnsi="Times New Roman"/>
        </w:rPr>
        <w:t>. The</w:t>
      </w:r>
      <w:r w:rsidRPr="00DF0BEE">
        <w:rPr>
          <w:rFonts w:ascii="Times New Roman" w:hAnsi="Times New Roman"/>
        </w:rPr>
        <w:br/>
      </w:r>
      <w:r w:rsidRPr="00DF0BEE">
        <w:rPr>
          <w:rStyle w:val="fontstyle01"/>
          <w:rFonts w:ascii="Times New Roman" w:hAnsi="Times New Roman"/>
        </w:rPr>
        <w:t>prerequisite tests consist of normality, homogeneity, and balance tests that were conducted before the</w:t>
      </w:r>
      <w:r w:rsidRPr="00DF0BEE">
        <w:rPr>
          <w:rFonts w:ascii="Times New Roman" w:hAnsi="Times New Roman"/>
        </w:rPr>
        <w:br/>
      </w:r>
      <w:r w:rsidR="00375446" w:rsidRPr="00DF0BEE">
        <w:rPr>
          <w:rStyle w:val="fontstyle01"/>
          <w:rFonts w:ascii="Times New Roman" w:hAnsi="Times New Roman"/>
          <w:i/>
          <w:iCs w:val="0"/>
        </w:rPr>
        <w:t>independent sample t-test</w:t>
      </w:r>
      <w:r w:rsidRPr="00DF0BEE">
        <w:rPr>
          <w:rStyle w:val="fontstyle01"/>
          <w:rFonts w:ascii="Times New Roman" w:hAnsi="Times New Roman"/>
        </w:rPr>
        <w:t>. The normality test was conducted to determine whether the sample under study is</w:t>
      </w:r>
      <w:r w:rsidRPr="00DF0BEE">
        <w:rPr>
          <w:rFonts w:ascii="Times New Roman" w:hAnsi="Times New Roman"/>
        </w:rPr>
        <w:t xml:space="preserve"> </w:t>
      </w:r>
      <w:r w:rsidRPr="00DF0BEE">
        <w:rPr>
          <w:rStyle w:val="fontstyle01"/>
          <w:rFonts w:ascii="Times New Roman" w:hAnsi="Times New Roman"/>
        </w:rPr>
        <w:t>normally distributed or not. The normality test in this research used the Kolmogorov Smirnov. The</w:t>
      </w:r>
      <w:r w:rsidRPr="00DF0BEE">
        <w:rPr>
          <w:rFonts w:ascii="Times New Roman" w:hAnsi="Times New Roman"/>
        </w:rPr>
        <w:t xml:space="preserve"> </w:t>
      </w:r>
      <w:r w:rsidRPr="00DF0BEE">
        <w:rPr>
          <w:rStyle w:val="fontstyle01"/>
          <w:rFonts w:ascii="Times New Roman" w:hAnsi="Times New Roman"/>
        </w:rPr>
        <w:t xml:space="preserve">homogeneity test was conducted to determine whether </w:t>
      </w:r>
      <w:r w:rsidR="00EB2734" w:rsidRPr="00DF0BEE">
        <w:rPr>
          <w:rStyle w:val="fontstyle01"/>
          <w:rFonts w:ascii="Times New Roman" w:hAnsi="Times New Roman"/>
        </w:rPr>
        <w:t>variants of the</w:t>
      </w:r>
      <w:r w:rsidRPr="00DF0BEE">
        <w:rPr>
          <w:rStyle w:val="fontstyle01"/>
          <w:rFonts w:ascii="Times New Roman" w:hAnsi="Times New Roman"/>
        </w:rPr>
        <w:t xml:space="preserve"> populations </w:t>
      </w:r>
      <w:r w:rsidR="00EB2734" w:rsidRPr="00DF0BEE">
        <w:rPr>
          <w:rStyle w:val="fontstyle01"/>
          <w:rFonts w:ascii="Times New Roman" w:hAnsi="Times New Roman"/>
        </w:rPr>
        <w:t>are homogenous or not</w:t>
      </w:r>
      <w:r w:rsidRPr="00DF0BEE">
        <w:rPr>
          <w:rStyle w:val="fontstyle01"/>
          <w:rFonts w:ascii="Times New Roman" w:hAnsi="Times New Roman"/>
        </w:rPr>
        <w:t>.</w:t>
      </w:r>
      <w:r w:rsidRPr="00DF0BEE">
        <w:rPr>
          <w:rFonts w:ascii="Times New Roman" w:hAnsi="Times New Roman"/>
        </w:rPr>
        <w:t xml:space="preserve"> </w:t>
      </w:r>
      <w:r w:rsidRPr="00DF0BEE">
        <w:rPr>
          <w:rStyle w:val="fontstyle01"/>
          <w:rFonts w:ascii="Times New Roman" w:hAnsi="Times New Roman"/>
        </w:rPr>
        <w:t xml:space="preserve">All the statistical </w:t>
      </w:r>
      <w:r w:rsidR="00EB2734" w:rsidRPr="00DF0BEE">
        <w:rPr>
          <w:rStyle w:val="fontstyle01"/>
          <w:rFonts w:ascii="Times New Roman" w:hAnsi="Times New Roman"/>
        </w:rPr>
        <w:t>tests</w:t>
      </w:r>
      <w:r w:rsidRPr="00DF0BEE">
        <w:rPr>
          <w:rStyle w:val="fontstyle01"/>
          <w:rFonts w:ascii="Times New Roman" w:hAnsi="Times New Roman"/>
        </w:rPr>
        <w:t xml:space="preserve"> were conducted through a </w:t>
      </w:r>
      <w:r w:rsidR="00EB2734" w:rsidRPr="00DF0BEE">
        <w:rPr>
          <w:rStyle w:val="fontstyle01"/>
          <w:rFonts w:ascii="Times New Roman" w:hAnsi="Times New Roman"/>
        </w:rPr>
        <w:t>statistical</w:t>
      </w:r>
      <w:r w:rsidRPr="00DF0BEE">
        <w:rPr>
          <w:rStyle w:val="fontstyle01"/>
          <w:rFonts w:ascii="Times New Roman" w:hAnsi="Times New Roman"/>
        </w:rPr>
        <w:t xml:space="preserve"> software program named IBM SPSS 2</w:t>
      </w:r>
      <w:r w:rsidR="00EB2734" w:rsidRPr="00DF0BEE">
        <w:rPr>
          <w:rStyle w:val="fontstyle01"/>
          <w:rFonts w:ascii="Times New Roman" w:hAnsi="Times New Roman"/>
        </w:rPr>
        <w:t>6</w:t>
      </w:r>
      <w:r w:rsidRPr="00DF0BEE">
        <w:rPr>
          <w:rStyle w:val="fontstyle01"/>
          <w:rFonts w:ascii="Times New Roman" w:hAnsi="Times New Roman"/>
        </w:rPr>
        <w:t>.</w:t>
      </w:r>
    </w:p>
    <w:p w14:paraId="1C186375" w14:textId="6EAC463C" w:rsidR="009D53B7" w:rsidRPr="00DF0BEE" w:rsidRDefault="009D53B7" w:rsidP="009D53B7">
      <w:pPr>
        <w:pStyle w:val="BodytextIndented"/>
        <w:rPr>
          <w:rFonts w:ascii="Times New Roman" w:hAnsi="Times New Roman"/>
          <w:lang w:val="en-GB"/>
        </w:rPr>
      </w:pPr>
    </w:p>
    <w:p w14:paraId="620F579E" w14:textId="74B2C52F" w:rsidR="009D53B7" w:rsidRPr="00DF0BEE" w:rsidRDefault="009D53B7" w:rsidP="009D53B7">
      <w:pPr>
        <w:pStyle w:val="Section"/>
        <w:rPr>
          <w:rFonts w:ascii="Times New Roman" w:hAnsi="Times New Roman"/>
        </w:rPr>
      </w:pPr>
      <w:r w:rsidRPr="00DF0BEE">
        <w:rPr>
          <w:rFonts w:ascii="Times New Roman" w:hAnsi="Times New Roman"/>
        </w:rPr>
        <w:t>Result</w:t>
      </w:r>
    </w:p>
    <w:p w14:paraId="0943A353" w14:textId="5D5D5505" w:rsidR="009D53B7" w:rsidRPr="00DF0BEE" w:rsidRDefault="009D53B7" w:rsidP="009D53B7">
      <w:pPr>
        <w:pStyle w:val="Subsection"/>
        <w:rPr>
          <w:rFonts w:ascii="Times New Roman" w:hAnsi="Times New Roman"/>
        </w:rPr>
      </w:pPr>
      <w:r w:rsidRPr="00DF0BEE">
        <w:rPr>
          <w:rFonts w:ascii="Times New Roman" w:hAnsi="Times New Roman"/>
        </w:rPr>
        <w:t>Descriptive Statistic Result</w:t>
      </w:r>
    </w:p>
    <w:p w14:paraId="60938C0A" w14:textId="192C6AAD" w:rsidR="00CC2D3A" w:rsidRPr="00DF0BEE" w:rsidRDefault="00CC2D3A" w:rsidP="00CC2D3A">
      <w:pPr>
        <w:pStyle w:val="Bodytext"/>
        <w:rPr>
          <w:rFonts w:ascii="Times New Roman" w:hAnsi="Times New Roman"/>
          <w:iCs w:val="0"/>
          <w:lang w:val="en-GB"/>
        </w:rPr>
      </w:pPr>
      <w:r w:rsidRPr="00DF0BEE">
        <w:rPr>
          <w:rFonts w:ascii="Times New Roman" w:hAnsi="Times New Roman"/>
          <w:iCs w:val="0"/>
          <w:lang w:val="en-GB"/>
        </w:rPr>
        <w:t xml:space="preserve">The first phase of the data analysis process was conducted using the descriptive analysis to </w:t>
      </w:r>
      <w:r w:rsidR="00531C2B" w:rsidRPr="00DF0BEE">
        <w:rPr>
          <w:rFonts w:ascii="Times New Roman" w:hAnsi="Times New Roman"/>
          <w:iCs w:val="0"/>
          <w:lang w:val="en-GB"/>
        </w:rPr>
        <w:t>draw</w:t>
      </w:r>
      <w:r w:rsidRPr="00DF0BEE">
        <w:rPr>
          <w:rFonts w:ascii="Times New Roman" w:hAnsi="Times New Roman"/>
          <w:iCs w:val="0"/>
          <w:lang w:val="en-GB"/>
        </w:rPr>
        <w:t xml:space="preserve"> the data collected from the pre-test and post-test of control and experimental groups. The descriptive statistic result of pre-test and post-test of control and experimental groups are presented in Table </w:t>
      </w:r>
      <w:r w:rsidR="00EB2734" w:rsidRPr="00DF0BEE">
        <w:rPr>
          <w:rFonts w:ascii="Times New Roman" w:hAnsi="Times New Roman"/>
          <w:iCs w:val="0"/>
          <w:lang w:val="en-GB"/>
        </w:rPr>
        <w:t>2</w:t>
      </w:r>
      <w:r w:rsidRPr="00DF0BEE">
        <w:rPr>
          <w:rFonts w:ascii="Times New Roman" w:hAnsi="Times New Roman"/>
          <w:iCs w:val="0"/>
          <w:lang w:val="en-GB"/>
        </w:rPr>
        <w:t xml:space="preserve">. </w:t>
      </w:r>
    </w:p>
    <w:p w14:paraId="10BF3A39" w14:textId="422CD784" w:rsidR="009D6FFD" w:rsidRPr="00DF0BEE" w:rsidRDefault="009D6FFD" w:rsidP="009D6FFD">
      <w:pPr>
        <w:pStyle w:val="BodytextIndented"/>
        <w:jc w:val="center"/>
        <w:rPr>
          <w:rFonts w:ascii="Times New Roman" w:hAnsi="Times New Roman"/>
          <w:lang w:val="en-GB"/>
        </w:rPr>
      </w:pPr>
      <w:proofErr w:type="spellStart"/>
      <w:r w:rsidRPr="00DF0BEE">
        <w:rPr>
          <w:rFonts w:ascii="Times New Roman" w:hAnsi="Times New Roman"/>
          <w:b/>
          <w:bCs/>
          <w:lang w:val="en-GB"/>
        </w:rPr>
        <w:t>Tabel</w:t>
      </w:r>
      <w:proofErr w:type="spellEnd"/>
      <w:r w:rsidRPr="00DF0BEE">
        <w:rPr>
          <w:rFonts w:ascii="Times New Roman" w:hAnsi="Times New Roman"/>
          <w:b/>
          <w:bCs/>
          <w:lang w:val="en-GB"/>
        </w:rPr>
        <w:t xml:space="preserve"> </w:t>
      </w:r>
      <w:r w:rsidR="00EB2734" w:rsidRPr="00DF0BEE">
        <w:rPr>
          <w:rFonts w:ascii="Times New Roman" w:hAnsi="Times New Roman"/>
          <w:b/>
          <w:bCs/>
          <w:lang w:val="en-GB"/>
        </w:rPr>
        <w:t>2</w:t>
      </w:r>
      <w:r w:rsidRPr="00DF0BEE">
        <w:rPr>
          <w:rFonts w:ascii="Times New Roman" w:hAnsi="Times New Roman"/>
          <w:b/>
          <w:bCs/>
          <w:lang w:val="en-GB"/>
        </w:rPr>
        <w:t>.</w:t>
      </w:r>
      <w:r w:rsidRPr="00DF0BEE">
        <w:rPr>
          <w:rFonts w:ascii="Times New Roman" w:hAnsi="Times New Roman"/>
          <w:lang w:val="en-GB"/>
        </w:rPr>
        <w:t xml:space="preserve"> Descriptive Analysis of Control and Experiment Groups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1857"/>
        <w:gridCol w:w="1857"/>
        <w:gridCol w:w="2759"/>
        <w:gridCol w:w="957"/>
      </w:tblGrid>
      <w:tr w:rsidR="00677B25" w:rsidRPr="00DF0BEE" w14:paraId="0603642A" w14:textId="77777777" w:rsidTr="00677B25">
        <w:tc>
          <w:tcPr>
            <w:tcW w:w="1857" w:type="dxa"/>
            <w:vMerge w:val="restart"/>
            <w:tcBorders>
              <w:top w:val="single" w:sz="4" w:space="0" w:color="auto"/>
              <w:bottom w:val="single" w:sz="4" w:space="0" w:color="auto"/>
            </w:tcBorders>
            <w:vAlign w:val="center"/>
          </w:tcPr>
          <w:p w14:paraId="2E75BDBF" w14:textId="5A6EC5BC"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Group</w:t>
            </w:r>
          </w:p>
        </w:tc>
        <w:tc>
          <w:tcPr>
            <w:tcW w:w="1857" w:type="dxa"/>
            <w:vMerge w:val="restart"/>
            <w:tcBorders>
              <w:top w:val="single" w:sz="4" w:space="0" w:color="auto"/>
              <w:bottom w:val="single" w:sz="4" w:space="0" w:color="auto"/>
            </w:tcBorders>
            <w:vAlign w:val="center"/>
          </w:tcPr>
          <w:p w14:paraId="75FD0813" w14:textId="041CF155"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Statistic</w:t>
            </w:r>
          </w:p>
        </w:tc>
        <w:tc>
          <w:tcPr>
            <w:tcW w:w="4616" w:type="dxa"/>
            <w:gridSpan w:val="2"/>
            <w:vAlign w:val="center"/>
          </w:tcPr>
          <w:p w14:paraId="3120E2A6" w14:textId="7CB2AEA0"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Score</w:t>
            </w:r>
          </w:p>
        </w:tc>
        <w:tc>
          <w:tcPr>
            <w:tcW w:w="957" w:type="dxa"/>
            <w:vMerge w:val="restart"/>
            <w:tcBorders>
              <w:top w:val="single" w:sz="4" w:space="0" w:color="auto"/>
              <w:bottom w:val="single" w:sz="4" w:space="0" w:color="auto"/>
            </w:tcBorders>
            <w:vAlign w:val="center"/>
          </w:tcPr>
          <w:p w14:paraId="55A3BFD6" w14:textId="0F6DCB20"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N</w:t>
            </w:r>
          </w:p>
        </w:tc>
      </w:tr>
      <w:tr w:rsidR="00677B25" w:rsidRPr="00DF0BEE" w14:paraId="78BFFFAA" w14:textId="77777777" w:rsidTr="00677B25">
        <w:tc>
          <w:tcPr>
            <w:tcW w:w="1857" w:type="dxa"/>
            <w:vMerge/>
            <w:tcBorders>
              <w:top w:val="nil"/>
              <w:bottom w:val="single" w:sz="4" w:space="0" w:color="auto"/>
            </w:tcBorders>
            <w:vAlign w:val="center"/>
          </w:tcPr>
          <w:p w14:paraId="4B26568E" w14:textId="77777777" w:rsidR="00677B25" w:rsidRPr="00DF0BEE" w:rsidRDefault="00677B25" w:rsidP="00531C2B">
            <w:pPr>
              <w:pStyle w:val="BodytextIndented"/>
              <w:ind w:firstLine="0"/>
              <w:rPr>
                <w:rFonts w:ascii="Times New Roman" w:hAnsi="Times New Roman"/>
                <w:lang w:val="en-GB"/>
              </w:rPr>
            </w:pPr>
          </w:p>
        </w:tc>
        <w:tc>
          <w:tcPr>
            <w:tcW w:w="1857" w:type="dxa"/>
            <w:vMerge/>
            <w:tcBorders>
              <w:top w:val="nil"/>
              <w:bottom w:val="single" w:sz="4" w:space="0" w:color="auto"/>
            </w:tcBorders>
            <w:vAlign w:val="center"/>
          </w:tcPr>
          <w:p w14:paraId="18D36160" w14:textId="77777777" w:rsidR="00677B25" w:rsidRPr="00DF0BEE" w:rsidRDefault="00677B25" w:rsidP="00531C2B">
            <w:pPr>
              <w:pStyle w:val="BodytextIndented"/>
              <w:ind w:firstLine="0"/>
              <w:rPr>
                <w:rFonts w:ascii="Times New Roman" w:hAnsi="Times New Roman"/>
                <w:lang w:val="en-GB"/>
              </w:rPr>
            </w:pPr>
          </w:p>
        </w:tc>
        <w:tc>
          <w:tcPr>
            <w:tcW w:w="1857" w:type="dxa"/>
            <w:tcBorders>
              <w:top w:val="nil"/>
              <w:bottom w:val="single" w:sz="4" w:space="0" w:color="auto"/>
            </w:tcBorders>
            <w:vAlign w:val="center"/>
          </w:tcPr>
          <w:p w14:paraId="004B66E9" w14:textId="71F26D65"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Pre-Test</w:t>
            </w:r>
          </w:p>
        </w:tc>
        <w:tc>
          <w:tcPr>
            <w:tcW w:w="2759" w:type="dxa"/>
            <w:tcBorders>
              <w:top w:val="nil"/>
              <w:bottom w:val="single" w:sz="4" w:space="0" w:color="auto"/>
            </w:tcBorders>
            <w:vAlign w:val="center"/>
          </w:tcPr>
          <w:p w14:paraId="67B7B39C" w14:textId="270306B5" w:rsidR="00677B25" w:rsidRPr="00DF0BEE" w:rsidRDefault="00677B25" w:rsidP="00677B25">
            <w:pPr>
              <w:pStyle w:val="BodytextIndented"/>
              <w:ind w:firstLine="0"/>
              <w:jc w:val="center"/>
              <w:rPr>
                <w:rFonts w:ascii="Times New Roman" w:hAnsi="Times New Roman"/>
                <w:b/>
                <w:bCs/>
                <w:lang w:val="en-GB"/>
              </w:rPr>
            </w:pPr>
            <w:r w:rsidRPr="00DF0BEE">
              <w:rPr>
                <w:rFonts w:ascii="Times New Roman" w:hAnsi="Times New Roman"/>
                <w:b/>
                <w:bCs/>
                <w:lang w:val="en-GB"/>
              </w:rPr>
              <w:t>Post-Test</w:t>
            </w:r>
          </w:p>
        </w:tc>
        <w:tc>
          <w:tcPr>
            <w:tcW w:w="957" w:type="dxa"/>
            <w:vMerge/>
            <w:tcBorders>
              <w:top w:val="nil"/>
              <w:bottom w:val="single" w:sz="4" w:space="0" w:color="auto"/>
            </w:tcBorders>
            <w:vAlign w:val="center"/>
          </w:tcPr>
          <w:p w14:paraId="0D726601" w14:textId="77777777" w:rsidR="00677B25" w:rsidRPr="00DF0BEE" w:rsidRDefault="00677B25" w:rsidP="00531C2B">
            <w:pPr>
              <w:pStyle w:val="BodytextIndented"/>
              <w:ind w:firstLine="0"/>
              <w:rPr>
                <w:rFonts w:ascii="Times New Roman" w:hAnsi="Times New Roman"/>
                <w:lang w:val="en-GB"/>
              </w:rPr>
            </w:pPr>
          </w:p>
        </w:tc>
      </w:tr>
      <w:tr w:rsidR="00677B25" w:rsidRPr="00DF0BEE" w14:paraId="7EFBC773" w14:textId="77777777" w:rsidTr="00677B25">
        <w:tc>
          <w:tcPr>
            <w:tcW w:w="1857" w:type="dxa"/>
            <w:vMerge w:val="restart"/>
            <w:tcBorders>
              <w:top w:val="single" w:sz="4" w:space="0" w:color="auto"/>
            </w:tcBorders>
            <w:vAlign w:val="center"/>
          </w:tcPr>
          <w:p w14:paraId="78C00BA6" w14:textId="1E76947C"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Control</w:t>
            </w:r>
          </w:p>
        </w:tc>
        <w:tc>
          <w:tcPr>
            <w:tcW w:w="1857" w:type="dxa"/>
            <w:tcBorders>
              <w:top w:val="single" w:sz="4" w:space="0" w:color="auto"/>
            </w:tcBorders>
            <w:vAlign w:val="center"/>
          </w:tcPr>
          <w:p w14:paraId="7A8BD8E9" w14:textId="46B2AA2E" w:rsidR="00677B25" w:rsidRPr="00DF0BEE" w:rsidRDefault="00677B25" w:rsidP="00531C2B">
            <w:pPr>
              <w:pStyle w:val="BodytextIndented"/>
              <w:ind w:firstLine="0"/>
              <w:rPr>
                <w:rFonts w:ascii="Times New Roman" w:hAnsi="Times New Roman"/>
                <w:lang w:val="en-GB"/>
              </w:rPr>
            </w:pPr>
            <w:r w:rsidRPr="00DF0BEE">
              <w:rPr>
                <w:rFonts w:ascii="Times New Roman" w:hAnsi="Times New Roman"/>
                <w:lang w:val="en-GB"/>
              </w:rPr>
              <w:t>Mean</w:t>
            </w:r>
          </w:p>
        </w:tc>
        <w:tc>
          <w:tcPr>
            <w:tcW w:w="1857" w:type="dxa"/>
            <w:tcBorders>
              <w:top w:val="single" w:sz="4" w:space="0" w:color="auto"/>
            </w:tcBorders>
            <w:vAlign w:val="center"/>
          </w:tcPr>
          <w:p w14:paraId="620D5B5A" w14:textId="43E0E4D9"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33.95</w:t>
            </w:r>
          </w:p>
        </w:tc>
        <w:tc>
          <w:tcPr>
            <w:tcW w:w="2759" w:type="dxa"/>
            <w:vAlign w:val="center"/>
          </w:tcPr>
          <w:p w14:paraId="35767D83" w14:textId="7C651AA3"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66.87</w:t>
            </w:r>
          </w:p>
        </w:tc>
        <w:tc>
          <w:tcPr>
            <w:tcW w:w="957" w:type="dxa"/>
            <w:vMerge w:val="restart"/>
            <w:tcBorders>
              <w:top w:val="single" w:sz="4" w:space="0" w:color="auto"/>
            </w:tcBorders>
            <w:vAlign w:val="center"/>
          </w:tcPr>
          <w:p w14:paraId="1DB9E10F" w14:textId="226529E3"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24</w:t>
            </w:r>
          </w:p>
        </w:tc>
      </w:tr>
      <w:tr w:rsidR="00677B25" w:rsidRPr="00DF0BEE" w14:paraId="27794AAC" w14:textId="77777777" w:rsidTr="00677B25">
        <w:tc>
          <w:tcPr>
            <w:tcW w:w="1857" w:type="dxa"/>
            <w:vMerge/>
            <w:vAlign w:val="center"/>
          </w:tcPr>
          <w:p w14:paraId="1C1F802A" w14:textId="77777777" w:rsidR="00677B25" w:rsidRPr="00DF0BEE" w:rsidRDefault="00677B25" w:rsidP="00677B25">
            <w:pPr>
              <w:pStyle w:val="BodytextIndented"/>
              <w:ind w:firstLine="0"/>
              <w:jc w:val="center"/>
              <w:rPr>
                <w:rFonts w:ascii="Times New Roman" w:hAnsi="Times New Roman"/>
                <w:lang w:val="en-GB"/>
              </w:rPr>
            </w:pPr>
          </w:p>
        </w:tc>
        <w:tc>
          <w:tcPr>
            <w:tcW w:w="1857" w:type="dxa"/>
            <w:vAlign w:val="center"/>
          </w:tcPr>
          <w:p w14:paraId="7F84889F" w14:textId="171A3E16" w:rsidR="00677B25" w:rsidRPr="00DF0BEE" w:rsidRDefault="00677B25" w:rsidP="00531C2B">
            <w:pPr>
              <w:pStyle w:val="BodytextIndented"/>
              <w:ind w:firstLine="0"/>
              <w:rPr>
                <w:rFonts w:ascii="Times New Roman" w:hAnsi="Times New Roman"/>
                <w:lang w:val="en-GB"/>
              </w:rPr>
            </w:pPr>
            <w:r w:rsidRPr="00DF0BEE">
              <w:rPr>
                <w:rFonts w:ascii="Times New Roman" w:hAnsi="Times New Roman"/>
                <w:lang w:val="en-GB"/>
              </w:rPr>
              <w:t>Std. Deviation</w:t>
            </w:r>
          </w:p>
        </w:tc>
        <w:tc>
          <w:tcPr>
            <w:tcW w:w="1857" w:type="dxa"/>
            <w:vAlign w:val="center"/>
          </w:tcPr>
          <w:p w14:paraId="1A7A32E6" w14:textId="2D2576EF"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9.08</w:t>
            </w:r>
          </w:p>
        </w:tc>
        <w:tc>
          <w:tcPr>
            <w:tcW w:w="2759" w:type="dxa"/>
            <w:vAlign w:val="center"/>
          </w:tcPr>
          <w:p w14:paraId="5CFF7433" w14:textId="229F4F54"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10.91</w:t>
            </w:r>
          </w:p>
        </w:tc>
        <w:tc>
          <w:tcPr>
            <w:tcW w:w="957" w:type="dxa"/>
            <w:vMerge/>
            <w:vAlign w:val="center"/>
          </w:tcPr>
          <w:p w14:paraId="4F19AFC7" w14:textId="77777777" w:rsidR="00677B25" w:rsidRPr="00DF0BEE" w:rsidRDefault="00677B25" w:rsidP="00677B25">
            <w:pPr>
              <w:pStyle w:val="BodytextIndented"/>
              <w:ind w:firstLine="0"/>
              <w:jc w:val="center"/>
              <w:rPr>
                <w:rFonts w:ascii="Times New Roman" w:hAnsi="Times New Roman"/>
                <w:lang w:val="en-GB"/>
              </w:rPr>
            </w:pPr>
          </w:p>
        </w:tc>
      </w:tr>
      <w:tr w:rsidR="00677B25" w:rsidRPr="00DF0BEE" w14:paraId="6AB10450" w14:textId="77777777" w:rsidTr="00677B25">
        <w:tc>
          <w:tcPr>
            <w:tcW w:w="1857" w:type="dxa"/>
            <w:vMerge/>
            <w:vAlign w:val="center"/>
          </w:tcPr>
          <w:p w14:paraId="7332791B" w14:textId="77777777" w:rsidR="00677B25" w:rsidRPr="00DF0BEE" w:rsidRDefault="00677B25" w:rsidP="00677B25">
            <w:pPr>
              <w:pStyle w:val="BodytextIndented"/>
              <w:ind w:firstLine="0"/>
              <w:jc w:val="center"/>
              <w:rPr>
                <w:rFonts w:ascii="Times New Roman" w:hAnsi="Times New Roman"/>
                <w:lang w:val="en-GB"/>
              </w:rPr>
            </w:pPr>
          </w:p>
        </w:tc>
        <w:tc>
          <w:tcPr>
            <w:tcW w:w="1857" w:type="dxa"/>
            <w:vAlign w:val="center"/>
          </w:tcPr>
          <w:p w14:paraId="725CEBBB" w14:textId="14C79195" w:rsidR="00677B25" w:rsidRPr="00DF0BEE" w:rsidRDefault="00677B25" w:rsidP="00531C2B">
            <w:pPr>
              <w:pStyle w:val="BodytextIndented"/>
              <w:ind w:firstLine="0"/>
              <w:rPr>
                <w:rFonts w:ascii="Times New Roman" w:hAnsi="Times New Roman"/>
                <w:lang w:val="en-GB"/>
              </w:rPr>
            </w:pPr>
            <w:r w:rsidRPr="00DF0BEE">
              <w:rPr>
                <w:rFonts w:ascii="Times New Roman" w:hAnsi="Times New Roman"/>
                <w:lang w:val="en-GB"/>
              </w:rPr>
              <w:t>Minimum</w:t>
            </w:r>
          </w:p>
        </w:tc>
        <w:tc>
          <w:tcPr>
            <w:tcW w:w="1857" w:type="dxa"/>
            <w:vAlign w:val="center"/>
          </w:tcPr>
          <w:p w14:paraId="71CC4690" w14:textId="145AF54D"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10.00</w:t>
            </w:r>
          </w:p>
        </w:tc>
        <w:tc>
          <w:tcPr>
            <w:tcW w:w="2759" w:type="dxa"/>
            <w:vAlign w:val="center"/>
          </w:tcPr>
          <w:p w14:paraId="44BBF63A" w14:textId="12210E9A"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35.00</w:t>
            </w:r>
          </w:p>
        </w:tc>
        <w:tc>
          <w:tcPr>
            <w:tcW w:w="957" w:type="dxa"/>
            <w:vMerge/>
            <w:vAlign w:val="center"/>
          </w:tcPr>
          <w:p w14:paraId="79E1E8E8" w14:textId="77777777" w:rsidR="00677B25" w:rsidRPr="00DF0BEE" w:rsidRDefault="00677B25" w:rsidP="00677B25">
            <w:pPr>
              <w:pStyle w:val="BodytextIndented"/>
              <w:ind w:firstLine="0"/>
              <w:jc w:val="center"/>
              <w:rPr>
                <w:rFonts w:ascii="Times New Roman" w:hAnsi="Times New Roman"/>
                <w:lang w:val="en-GB"/>
              </w:rPr>
            </w:pPr>
          </w:p>
        </w:tc>
      </w:tr>
      <w:tr w:rsidR="00677B25" w:rsidRPr="00DF0BEE" w14:paraId="14D50A45" w14:textId="77777777" w:rsidTr="00677B25">
        <w:tc>
          <w:tcPr>
            <w:tcW w:w="1857" w:type="dxa"/>
            <w:vMerge/>
            <w:vAlign w:val="center"/>
          </w:tcPr>
          <w:p w14:paraId="5E2709D5" w14:textId="77777777" w:rsidR="00677B25" w:rsidRPr="00DF0BEE" w:rsidRDefault="00677B25" w:rsidP="00677B25">
            <w:pPr>
              <w:pStyle w:val="BodytextIndented"/>
              <w:ind w:firstLine="0"/>
              <w:jc w:val="center"/>
              <w:rPr>
                <w:rFonts w:ascii="Times New Roman" w:hAnsi="Times New Roman"/>
                <w:lang w:val="en-GB"/>
              </w:rPr>
            </w:pPr>
          </w:p>
        </w:tc>
        <w:tc>
          <w:tcPr>
            <w:tcW w:w="1857" w:type="dxa"/>
            <w:vAlign w:val="center"/>
          </w:tcPr>
          <w:p w14:paraId="1AB11250" w14:textId="74DFAD99" w:rsidR="00677B25" w:rsidRPr="00DF0BEE" w:rsidRDefault="00677B25" w:rsidP="00531C2B">
            <w:pPr>
              <w:pStyle w:val="BodytextIndented"/>
              <w:ind w:firstLine="0"/>
              <w:rPr>
                <w:rFonts w:ascii="Times New Roman" w:hAnsi="Times New Roman"/>
                <w:lang w:val="en-GB"/>
              </w:rPr>
            </w:pPr>
            <w:r w:rsidRPr="00DF0BEE">
              <w:rPr>
                <w:rFonts w:ascii="Times New Roman" w:hAnsi="Times New Roman"/>
                <w:lang w:val="en-GB"/>
              </w:rPr>
              <w:t>Maximum</w:t>
            </w:r>
          </w:p>
        </w:tc>
        <w:tc>
          <w:tcPr>
            <w:tcW w:w="1857" w:type="dxa"/>
            <w:vAlign w:val="center"/>
          </w:tcPr>
          <w:p w14:paraId="16184A0D" w14:textId="0E19273C"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50.00</w:t>
            </w:r>
          </w:p>
        </w:tc>
        <w:tc>
          <w:tcPr>
            <w:tcW w:w="2759" w:type="dxa"/>
            <w:vAlign w:val="center"/>
          </w:tcPr>
          <w:p w14:paraId="3CDD9709" w14:textId="761D0F9D"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90.00</w:t>
            </w:r>
          </w:p>
        </w:tc>
        <w:tc>
          <w:tcPr>
            <w:tcW w:w="957" w:type="dxa"/>
            <w:vMerge/>
            <w:vAlign w:val="center"/>
          </w:tcPr>
          <w:p w14:paraId="1BF80498" w14:textId="77777777" w:rsidR="00677B25" w:rsidRPr="00DF0BEE" w:rsidRDefault="00677B25" w:rsidP="00677B25">
            <w:pPr>
              <w:pStyle w:val="BodytextIndented"/>
              <w:ind w:firstLine="0"/>
              <w:jc w:val="center"/>
              <w:rPr>
                <w:rFonts w:ascii="Times New Roman" w:hAnsi="Times New Roman"/>
                <w:lang w:val="en-GB"/>
              </w:rPr>
            </w:pPr>
          </w:p>
        </w:tc>
      </w:tr>
      <w:tr w:rsidR="00677B25" w:rsidRPr="00DF0BEE" w14:paraId="0B967C18" w14:textId="77777777" w:rsidTr="00677B25">
        <w:tc>
          <w:tcPr>
            <w:tcW w:w="1857" w:type="dxa"/>
            <w:vMerge w:val="restart"/>
            <w:vAlign w:val="center"/>
          </w:tcPr>
          <w:p w14:paraId="40B7A254" w14:textId="6E7520C2"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Experiment</w:t>
            </w:r>
          </w:p>
        </w:tc>
        <w:tc>
          <w:tcPr>
            <w:tcW w:w="1857" w:type="dxa"/>
            <w:vAlign w:val="center"/>
          </w:tcPr>
          <w:p w14:paraId="5FDB572A" w14:textId="77777777" w:rsidR="00677B25" w:rsidRPr="00DF0BEE" w:rsidRDefault="00677B25" w:rsidP="00634790">
            <w:pPr>
              <w:pStyle w:val="BodytextIndented"/>
              <w:ind w:firstLine="0"/>
              <w:rPr>
                <w:rFonts w:ascii="Times New Roman" w:hAnsi="Times New Roman"/>
                <w:lang w:val="en-GB"/>
              </w:rPr>
            </w:pPr>
            <w:r w:rsidRPr="00DF0BEE">
              <w:rPr>
                <w:rFonts w:ascii="Times New Roman" w:hAnsi="Times New Roman"/>
                <w:lang w:val="en-GB"/>
              </w:rPr>
              <w:t>Mean</w:t>
            </w:r>
          </w:p>
        </w:tc>
        <w:tc>
          <w:tcPr>
            <w:tcW w:w="1857" w:type="dxa"/>
            <w:vAlign w:val="center"/>
          </w:tcPr>
          <w:p w14:paraId="7CABE09D" w14:textId="7D5CEFE0"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35.20</w:t>
            </w:r>
          </w:p>
        </w:tc>
        <w:tc>
          <w:tcPr>
            <w:tcW w:w="2759" w:type="dxa"/>
            <w:vAlign w:val="center"/>
          </w:tcPr>
          <w:p w14:paraId="68D4D8A0" w14:textId="41E01E2E"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76.04</w:t>
            </w:r>
          </w:p>
        </w:tc>
        <w:tc>
          <w:tcPr>
            <w:tcW w:w="957" w:type="dxa"/>
            <w:vMerge w:val="restart"/>
            <w:vAlign w:val="center"/>
          </w:tcPr>
          <w:p w14:paraId="48875A0D" w14:textId="5BC30AB2"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24</w:t>
            </w:r>
          </w:p>
        </w:tc>
      </w:tr>
      <w:tr w:rsidR="00677B25" w:rsidRPr="00DF0BEE" w14:paraId="377D9F36" w14:textId="77777777" w:rsidTr="00677B25">
        <w:tc>
          <w:tcPr>
            <w:tcW w:w="1857" w:type="dxa"/>
            <w:vMerge/>
            <w:vAlign w:val="center"/>
          </w:tcPr>
          <w:p w14:paraId="27235041" w14:textId="77777777" w:rsidR="00677B25" w:rsidRPr="00DF0BEE" w:rsidRDefault="00677B25" w:rsidP="00634790">
            <w:pPr>
              <w:pStyle w:val="BodytextIndented"/>
              <w:ind w:firstLine="0"/>
              <w:rPr>
                <w:rFonts w:ascii="Times New Roman" w:hAnsi="Times New Roman"/>
                <w:lang w:val="en-GB"/>
              </w:rPr>
            </w:pPr>
          </w:p>
        </w:tc>
        <w:tc>
          <w:tcPr>
            <w:tcW w:w="1857" w:type="dxa"/>
            <w:vAlign w:val="center"/>
          </w:tcPr>
          <w:p w14:paraId="10CA958C" w14:textId="77777777" w:rsidR="00677B25" w:rsidRPr="00DF0BEE" w:rsidRDefault="00677B25" w:rsidP="00634790">
            <w:pPr>
              <w:pStyle w:val="BodytextIndented"/>
              <w:ind w:firstLine="0"/>
              <w:rPr>
                <w:rFonts w:ascii="Times New Roman" w:hAnsi="Times New Roman"/>
                <w:lang w:val="en-GB"/>
              </w:rPr>
            </w:pPr>
            <w:r w:rsidRPr="00DF0BEE">
              <w:rPr>
                <w:rFonts w:ascii="Times New Roman" w:hAnsi="Times New Roman"/>
                <w:lang w:val="en-GB"/>
              </w:rPr>
              <w:t>Std. Deviation</w:t>
            </w:r>
          </w:p>
        </w:tc>
        <w:tc>
          <w:tcPr>
            <w:tcW w:w="1857" w:type="dxa"/>
            <w:vAlign w:val="center"/>
          </w:tcPr>
          <w:p w14:paraId="46D7DDB9" w14:textId="3EDE8A9A"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7.50</w:t>
            </w:r>
          </w:p>
        </w:tc>
        <w:tc>
          <w:tcPr>
            <w:tcW w:w="2759" w:type="dxa"/>
            <w:vAlign w:val="center"/>
          </w:tcPr>
          <w:p w14:paraId="6261CF15" w14:textId="1B894CE6"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13.10</w:t>
            </w:r>
          </w:p>
        </w:tc>
        <w:tc>
          <w:tcPr>
            <w:tcW w:w="957" w:type="dxa"/>
            <w:vMerge/>
            <w:vAlign w:val="center"/>
          </w:tcPr>
          <w:p w14:paraId="5D524067" w14:textId="77777777" w:rsidR="00677B25" w:rsidRPr="00DF0BEE" w:rsidRDefault="00677B25" w:rsidP="00634790">
            <w:pPr>
              <w:pStyle w:val="BodytextIndented"/>
              <w:ind w:firstLine="0"/>
              <w:rPr>
                <w:rFonts w:ascii="Times New Roman" w:hAnsi="Times New Roman"/>
                <w:lang w:val="en-GB"/>
              </w:rPr>
            </w:pPr>
          </w:p>
        </w:tc>
      </w:tr>
      <w:tr w:rsidR="00677B25" w:rsidRPr="00DF0BEE" w14:paraId="4AEE46C8" w14:textId="77777777" w:rsidTr="00677B25">
        <w:tc>
          <w:tcPr>
            <w:tcW w:w="1857" w:type="dxa"/>
            <w:vMerge/>
            <w:vAlign w:val="center"/>
          </w:tcPr>
          <w:p w14:paraId="6951B4C1" w14:textId="77777777" w:rsidR="00677B25" w:rsidRPr="00DF0BEE" w:rsidRDefault="00677B25" w:rsidP="00634790">
            <w:pPr>
              <w:pStyle w:val="BodytextIndented"/>
              <w:ind w:firstLine="0"/>
              <w:rPr>
                <w:rFonts w:ascii="Times New Roman" w:hAnsi="Times New Roman"/>
                <w:lang w:val="en-GB"/>
              </w:rPr>
            </w:pPr>
          </w:p>
        </w:tc>
        <w:tc>
          <w:tcPr>
            <w:tcW w:w="1857" w:type="dxa"/>
            <w:vAlign w:val="center"/>
          </w:tcPr>
          <w:p w14:paraId="7E903DA8" w14:textId="77777777" w:rsidR="00677B25" w:rsidRPr="00DF0BEE" w:rsidRDefault="00677B25" w:rsidP="00634790">
            <w:pPr>
              <w:pStyle w:val="BodytextIndented"/>
              <w:ind w:firstLine="0"/>
              <w:rPr>
                <w:rFonts w:ascii="Times New Roman" w:hAnsi="Times New Roman"/>
                <w:lang w:val="en-GB"/>
              </w:rPr>
            </w:pPr>
            <w:r w:rsidRPr="00DF0BEE">
              <w:rPr>
                <w:rFonts w:ascii="Times New Roman" w:hAnsi="Times New Roman"/>
                <w:lang w:val="en-GB"/>
              </w:rPr>
              <w:t>Minimum</w:t>
            </w:r>
          </w:p>
        </w:tc>
        <w:tc>
          <w:tcPr>
            <w:tcW w:w="1857" w:type="dxa"/>
            <w:vAlign w:val="center"/>
          </w:tcPr>
          <w:p w14:paraId="7E9A454C" w14:textId="122FCB42"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20.00</w:t>
            </w:r>
          </w:p>
        </w:tc>
        <w:tc>
          <w:tcPr>
            <w:tcW w:w="2759" w:type="dxa"/>
            <w:vAlign w:val="center"/>
          </w:tcPr>
          <w:p w14:paraId="7F616AC5" w14:textId="0256F089"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40.00</w:t>
            </w:r>
          </w:p>
        </w:tc>
        <w:tc>
          <w:tcPr>
            <w:tcW w:w="957" w:type="dxa"/>
            <w:vMerge/>
            <w:vAlign w:val="center"/>
          </w:tcPr>
          <w:p w14:paraId="5749F2A3" w14:textId="77777777" w:rsidR="00677B25" w:rsidRPr="00DF0BEE" w:rsidRDefault="00677B25" w:rsidP="00634790">
            <w:pPr>
              <w:pStyle w:val="BodytextIndented"/>
              <w:ind w:firstLine="0"/>
              <w:rPr>
                <w:rFonts w:ascii="Times New Roman" w:hAnsi="Times New Roman"/>
                <w:lang w:val="en-GB"/>
              </w:rPr>
            </w:pPr>
          </w:p>
        </w:tc>
      </w:tr>
      <w:tr w:rsidR="00677B25" w:rsidRPr="00DF0BEE" w14:paraId="16B8DF68" w14:textId="77777777" w:rsidTr="00677B25">
        <w:tc>
          <w:tcPr>
            <w:tcW w:w="1857" w:type="dxa"/>
            <w:vMerge/>
            <w:vAlign w:val="center"/>
          </w:tcPr>
          <w:p w14:paraId="321E5241" w14:textId="77777777" w:rsidR="00677B25" w:rsidRPr="00DF0BEE" w:rsidRDefault="00677B25" w:rsidP="00634790">
            <w:pPr>
              <w:pStyle w:val="BodytextIndented"/>
              <w:ind w:firstLine="0"/>
              <w:rPr>
                <w:rFonts w:ascii="Times New Roman" w:hAnsi="Times New Roman"/>
                <w:lang w:val="en-GB"/>
              </w:rPr>
            </w:pPr>
          </w:p>
        </w:tc>
        <w:tc>
          <w:tcPr>
            <w:tcW w:w="1857" w:type="dxa"/>
            <w:vAlign w:val="center"/>
          </w:tcPr>
          <w:p w14:paraId="50465B28" w14:textId="77777777" w:rsidR="00677B25" w:rsidRPr="00DF0BEE" w:rsidRDefault="00677B25" w:rsidP="00634790">
            <w:pPr>
              <w:pStyle w:val="BodytextIndented"/>
              <w:ind w:firstLine="0"/>
              <w:rPr>
                <w:rFonts w:ascii="Times New Roman" w:hAnsi="Times New Roman"/>
                <w:lang w:val="en-GB"/>
              </w:rPr>
            </w:pPr>
            <w:r w:rsidRPr="00DF0BEE">
              <w:rPr>
                <w:rFonts w:ascii="Times New Roman" w:hAnsi="Times New Roman"/>
                <w:lang w:val="en-GB"/>
              </w:rPr>
              <w:t>Maximum</w:t>
            </w:r>
          </w:p>
        </w:tc>
        <w:tc>
          <w:tcPr>
            <w:tcW w:w="1857" w:type="dxa"/>
            <w:vAlign w:val="center"/>
          </w:tcPr>
          <w:p w14:paraId="3623FBAD" w14:textId="6235D2E7" w:rsidR="00677B25" w:rsidRPr="00DF0BEE" w:rsidRDefault="009D6FFD" w:rsidP="00677B25">
            <w:pPr>
              <w:pStyle w:val="BodytextIndented"/>
              <w:ind w:firstLine="0"/>
              <w:jc w:val="center"/>
              <w:rPr>
                <w:rFonts w:ascii="Times New Roman" w:hAnsi="Times New Roman"/>
                <w:lang w:val="en-GB"/>
              </w:rPr>
            </w:pPr>
            <w:r w:rsidRPr="00DF0BEE">
              <w:rPr>
                <w:rFonts w:ascii="Times New Roman" w:hAnsi="Times New Roman"/>
                <w:lang w:val="en-GB"/>
              </w:rPr>
              <w:t>50.00</w:t>
            </w:r>
          </w:p>
        </w:tc>
        <w:tc>
          <w:tcPr>
            <w:tcW w:w="2759" w:type="dxa"/>
            <w:vAlign w:val="center"/>
          </w:tcPr>
          <w:p w14:paraId="1D7AF624" w14:textId="10CC0C3B" w:rsidR="00677B25" w:rsidRPr="00DF0BEE" w:rsidRDefault="00677B25" w:rsidP="00677B25">
            <w:pPr>
              <w:pStyle w:val="BodytextIndented"/>
              <w:ind w:firstLine="0"/>
              <w:jc w:val="center"/>
              <w:rPr>
                <w:rFonts w:ascii="Times New Roman" w:hAnsi="Times New Roman"/>
                <w:lang w:val="en-GB"/>
              </w:rPr>
            </w:pPr>
            <w:r w:rsidRPr="00DF0BEE">
              <w:rPr>
                <w:rFonts w:ascii="Times New Roman" w:hAnsi="Times New Roman"/>
                <w:lang w:val="en-GB"/>
              </w:rPr>
              <w:t>100.00</w:t>
            </w:r>
          </w:p>
        </w:tc>
        <w:tc>
          <w:tcPr>
            <w:tcW w:w="957" w:type="dxa"/>
            <w:vMerge/>
            <w:vAlign w:val="center"/>
          </w:tcPr>
          <w:p w14:paraId="114171D6" w14:textId="77777777" w:rsidR="00677B25" w:rsidRPr="00DF0BEE" w:rsidRDefault="00677B25" w:rsidP="00634790">
            <w:pPr>
              <w:pStyle w:val="BodytextIndented"/>
              <w:ind w:firstLine="0"/>
              <w:rPr>
                <w:rFonts w:ascii="Times New Roman" w:hAnsi="Times New Roman"/>
                <w:lang w:val="en-GB"/>
              </w:rPr>
            </w:pPr>
          </w:p>
        </w:tc>
      </w:tr>
    </w:tbl>
    <w:p w14:paraId="49CD13B2" w14:textId="77777777" w:rsidR="00531C2B" w:rsidRPr="00DF0BEE" w:rsidRDefault="00531C2B" w:rsidP="00531C2B">
      <w:pPr>
        <w:pStyle w:val="BodytextIndented"/>
        <w:rPr>
          <w:rFonts w:ascii="Times New Roman" w:hAnsi="Times New Roman"/>
          <w:lang w:val="en-GB"/>
        </w:rPr>
      </w:pPr>
    </w:p>
    <w:p w14:paraId="4B01A9AB" w14:textId="63333D1D" w:rsidR="00CC2D3A" w:rsidRPr="00DF0BEE" w:rsidRDefault="00080BB0" w:rsidP="00DF0BEE">
      <w:pPr>
        <w:pStyle w:val="BodytextIndented"/>
        <w:rPr>
          <w:rFonts w:ascii="Times New Roman" w:hAnsi="Times New Roman"/>
          <w:lang w:val="en-GB"/>
        </w:rPr>
      </w:pPr>
      <w:r w:rsidRPr="00DF0BEE">
        <w:rPr>
          <w:rFonts w:ascii="Times New Roman" w:hAnsi="Times New Roman"/>
          <w:iCs w:val="0"/>
          <w:lang w:val="en-GB"/>
        </w:rPr>
        <w:t>The data presented in Table 2 shows the descriptive statistic score of the pre-test of SMU</w:t>
      </w:r>
      <w:r w:rsidR="009F3761">
        <w:rPr>
          <w:rFonts w:ascii="Times New Roman" w:hAnsi="Times New Roman"/>
          <w:iCs w:val="0"/>
          <w:lang w:val="en-GB"/>
        </w:rPr>
        <w:t xml:space="preserve"> score</w:t>
      </w:r>
      <w:r w:rsidRPr="00DF0BEE">
        <w:rPr>
          <w:rFonts w:ascii="Times New Roman" w:hAnsi="Times New Roman"/>
          <w:iCs w:val="0"/>
          <w:lang w:val="en-GB"/>
        </w:rPr>
        <w:t xml:space="preserve"> on the control group that </w:t>
      </w:r>
      <w:r w:rsidR="009F3761">
        <w:rPr>
          <w:rFonts w:ascii="Times New Roman" w:hAnsi="Times New Roman"/>
          <w:iCs w:val="0"/>
          <w:lang w:val="en-GB"/>
        </w:rPr>
        <w:t>conducted</w:t>
      </w:r>
      <w:r w:rsidRPr="00DF0BEE">
        <w:rPr>
          <w:rFonts w:ascii="Times New Roman" w:hAnsi="Times New Roman"/>
          <w:iCs w:val="0"/>
          <w:lang w:val="en-GB"/>
        </w:rPr>
        <w:t xml:space="preserve"> learning through PowerPoint (</w:t>
      </w:r>
      <w:r w:rsidRPr="00DF0BEE">
        <w:rPr>
          <w:rFonts w:ascii="Times New Roman" w:hAnsi="Times New Roman"/>
          <w:i/>
          <w:lang w:val="en-GB"/>
        </w:rPr>
        <w:t xml:space="preserve">M </w:t>
      </w:r>
      <w:r w:rsidRPr="00DF0BEE">
        <w:rPr>
          <w:rFonts w:ascii="Times New Roman" w:hAnsi="Times New Roman"/>
          <w:iCs w:val="0"/>
          <w:lang w:val="en-GB"/>
        </w:rPr>
        <w:t>= 33.95, SD=9.08, Min = 10.00,</w:t>
      </w:r>
      <w:r w:rsidR="009F3761">
        <w:rPr>
          <w:rFonts w:ascii="Times New Roman" w:hAnsi="Times New Roman"/>
          <w:iCs w:val="0"/>
          <w:lang w:val="en-GB"/>
        </w:rPr>
        <w:t xml:space="preserve"> </w:t>
      </w:r>
      <w:r w:rsidRPr="00DF0BEE">
        <w:rPr>
          <w:rFonts w:ascii="Times New Roman" w:hAnsi="Times New Roman"/>
          <w:iCs w:val="0"/>
          <w:lang w:val="en-GB"/>
        </w:rPr>
        <w:t>Max =</w:t>
      </w:r>
      <w:r w:rsidR="009F3761">
        <w:rPr>
          <w:rFonts w:ascii="Times New Roman" w:hAnsi="Times New Roman"/>
          <w:iCs w:val="0"/>
          <w:lang w:val="en-GB"/>
        </w:rPr>
        <w:t xml:space="preserve"> </w:t>
      </w:r>
      <w:r w:rsidRPr="00DF0BEE">
        <w:rPr>
          <w:rFonts w:ascii="Times New Roman" w:hAnsi="Times New Roman"/>
          <w:iCs w:val="0"/>
          <w:lang w:val="en-GB"/>
        </w:rPr>
        <w:t>55.00). Following this result, the post-test of SMU on the control group students shows (</w:t>
      </w:r>
      <w:r w:rsidRPr="00DF0BEE">
        <w:rPr>
          <w:rFonts w:ascii="Times New Roman" w:hAnsi="Times New Roman"/>
          <w:i/>
          <w:lang w:val="en-GB"/>
        </w:rPr>
        <w:t xml:space="preserve">M </w:t>
      </w:r>
      <w:r w:rsidRPr="00DF0BEE">
        <w:rPr>
          <w:rFonts w:ascii="Times New Roman" w:hAnsi="Times New Roman"/>
          <w:iCs w:val="0"/>
          <w:lang w:val="en-GB"/>
        </w:rPr>
        <w:t>= 66.87,</w:t>
      </w:r>
      <w:r w:rsidR="009F3761">
        <w:rPr>
          <w:rFonts w:ascii="Times New Roman" w:hAnsi="Times New Roman"/>
          <w:iCs w:val="0"/>
          <w:lang w:val="en-GB"/>
        </w:rPr>
        <w:t xml:space="preserve"> </w:t>
      </w:r>
      <w:r w:rsidRPr="00DF0BEE">
        <w:rPr>
          <w:rFonts w:ascii="Times New Roman" w:hAnsi="Times New Roman"/>
          <w:iCs w:val="0"/>
          <w:lang w:val="en-GB"/>
        </w:rPr>
        <w:t>SD=10.91, Min = 35.00, Max = 90.00). On the other hand, according to the data presented in</w:t>
      </w:r>
      <w:r w:rsidR="009F3761">
        <w:rPr>
          <w:rFonts w:ascii="Times New Roman" w:hAnsi="Times New Roman"/>
          <w:iCs w:val="0"/>
          <w:lang w:val="en-GB"/>
        </w:rPr>
        <w:t xml:space="preserve"> </w:t>
      </w:r>
      <w:r w:rsidRPr="00DF0BEE">
        <w:rPr>
          <w:rFonts w:ascii="Times New Roman" w:hAnsi="Times New Roman"/>
          <w:iCs w:val="0"/>
          <w:lang w:val="en-GB"/>
        </w:rPr>
        <w:t xml:space="preserve">Table 2, the experimental group of students who were conducting learning through </w:t>
      </w:r>
      <w:proofErr w:type="spellStart"/>
      <w:r w:rsidRPr="00DF0BEE">
        <w:rPr>
          <w:rFonts w:ascii="Times New Roman" w:hAnsi="Times New Roman"/>
          <w:iCs w:val="0"/>
          <w:lang w:val="en-GB"/>
        </w:rPr>
        <w:t>PhET</w:t>
      </w:r>
      <w:proofErr w:type="spellEnd"/>
      <w:r w:rsidRPr="00DF0BEE">
        <w:rPr>
          <w:rFonts w:ascii="Times New Roman" w:hAnsi="Times New Roman"/>
          <w:iCs w:val="0"/>
          <w:lang w:val="en-GB"/>
        </w:rPr>
        <w:t xml:space="preserve"> Interactive</w:t>
      </w:r>
      <w:r w:rsidR="009F3761">
        <w:rPr>
          <w:rFonts w:ascii="Times New Roman" w:hAnsi="Times New Roman"/>
          <w:iCs w:val="0"/>
          <w:lang w:val="en-GB"/>
        </w:rPr>
        <w:t xml:space="preserve"> </w:t>
      </w:r>
      <w:r w:rsidRPr="00DF0BEE">
        <w:rPr>
          <w:rFonts w:ascii="Times New Roman" w:hAnsi="Times New Roman"/>
          <w:iCs w:val="0"/>
          <w:lang w:val="en-GB"/>
        </w:rPr>
        <w:t>Simulation show that the pre-test score of SMU (</w:t>
      </w:r>
      <w:r w:rsidRPr="00DF0BEE">
        <w:rPr>
          <w:rFonts w:ascii="Times New Roman" w:hAnsi="Times New Roman"/>
          <w:i/>
          <w:lang w:val="en-GB"/>
        </w:rPr>
        <w:t xml:space="preserve">M </w:t>
      </w:r>
      <w:r w:rsidRPr="00DF0BEE">
        <w:rPr>
          <w:rFonts w:ascii="Times New Roman" w:hAnsi="Times New Roman"/>
          <w:iCs w:val="0"/>
          <w:lang w:val="en-GB"/>
        </w:rPr>
        <w:t>= 3</w:t>
      </w:r>
      <w:r w:rsidR="00FD0104" w:rsidRPr="00DF0BEE">
        <w:rPr>
          <w:rFonts w:ascii="Times New Roman" w:hAnsi="Times New Roman"/>
          <w:iCs w:val="0"/>
          <w:lang w:val="en-GB"/>
        </w:rPr>
        <w:t>5.20</w:t>
      </w:r>
      <w:r w:rsidRPr="00DF0BEE">
        <w:rPr>
          <w:rFonts w:ascii="Times New Roman" w:hAnsi="Times New Roman"/>
          <w:iCs w:val="0"/>
          <w:lang w:val="en-GB"/>
        </w:rPr>
        <w:t>, SD=</w:t>
      </w:r>
      <w:r w:rsidR="00DF0BEE" w:rsidRPr="00DF0BEE">
        <w:rPr>
          <w:rFonts w:ascii="Times New Roman" w:hAnsi="Times New Roman"/>
          <w:iCs w:val="0"/>
          <w:lang w:val="en-GB"/>
        </w:rPr>
        <w:t>7</w:t>
      </w:r>
      <w:r w:rsidRPr="00DF0BEE">
        <w:rPr>
          <w:rFonts w:ascii="Times New Roman" w:hAnsi="Times New Roman"/>
          <w:iCs w:val="0"/>
          <w:lang w:val="en-GB"/>
        </w:rPr>
        <w:t>.5</w:t>
      </w:r>
      <w:r w:rsidR="00DF0BEE" w:rsidRPr="00DF0BEE">
        <w:rPr>
          <w:rFonts w:ascii="Times New Roman" w:hAnsi="Times New Roman"/>
          <w:iCs w:val="0"/>
          <w:lang w:val="en-GB"/>
        </w:rPr>
        <w:t>0</w:t>
      </w:r>
      <w:r w:rsidRPr="00DF0BEE">
        <w:rPr>
          <w:rFonts w:ascii="Times New Roman" w:hAnsi="Times New Roman"/>
          <w:iCs w:val="0"/>
          <w:lang w:val="en-GB"/>
        </w:rPr>
        <w:t>, Min=20.00, Max=</w:t>
      </w:r>
      <w:r w:rsidR="00DF0BEE" w:rsidRPr="00DF0BEE">
        <w:rPr>
          <w:rFonts w:ascii="Times New Roman" w:hAnsi="Times New Roman"/>
          <w:iCs w:val="0"/>
          <w:lang w:val="en-GB"/>
        </w:rPr>
        <w:t>5</w:t>
      </w:r>
      <w:r w:rsidRPr="00DF0BEE">
        <w:rPr>
          <w:rFonts w:ascii="Times New Roman" w:hAnsi="Times New Roman"/>
          <w:iCs w:val="0"/>
          <w:lang w:val="en-GB"/>
        </w:rPr>
        <w:t>0.00).</w:t>
      </w:r>
      <w:r w:rsidR="009F3761">
        <w:rPr>
          <w:rFonts w:ascii="Times New Roman" w:hAnsi="Times New Roman"/>
          <w:iCs w:val="0"/>
          <w:lang w:val="en-GB"/>
        </w:rPr>
        <w:t xml:space="preserve"> </w:t>
      </w:r>
      <w:r w:rsidRPr="00DF0BEE">
        <w:rPr>
          <w:rFonts w:ascii="Times New Roman" w:hAnsi="Times New Roman"/>
          <w:iCs w:val="0"/>
          <w:lang w:val="en-GB"/>
        </w:rPr>
        <w:t>Moreover, the po</w:t>
      </w:r>
      <w:r w:rsidR="00DF0BEE" w:rsidRPr="00DF0BEE">
        <w:rPr>
          <w:rFonts w:ascii="Times New Roman" w:hAnsi="Times New Roman"/>
          <w:iCs w:val="0"/>
          <w:lang w:val="en-GB"/>
        </w:rPr>
        <w:t>s</w:t>
      </w:r>
      <w:r w:rsidRPr="00DF0BEE">
        <w:rPr>
          <w:rFonts w:ascii="Times New Roman" w:hAnsi="Times New Roman"/>
          <w:iCs w:val="0"/>
          <w:lang w:val="en-GB"/>
        </w:rPr>
        <w:t>t-test score shows (</w:t>
      </w:r>
      <w:r w:rsidRPr="00DF0BEE">
        <w:rPr>
          <w:rFonts w:ascii="Times New Roman" w:hAnsi="Times New Roman"/>
          <w:i/>
          <w:lang w:val="en-GB"/>
        </w:rPr>
        <w:t>M</w:t>
      </w:r>
      <w:r w:rsidRPr="00DF0BEE">
        <w:rPr>
          <w:rFonts w:ascii="Times New Roman" w:hAnsi="Times New Roman"/>
          <w:iCs w:val="0"/>
          <w:lang w:val="en-GB"/>
        </w:rPr>
        <w:t>=</w:t>
      </w:r>
      <w:r w:rsidR="00DF0BEE" w:rsidRPr="00DF0BEE">
        <w:rPr>
          <w:rFonts w:ascii="Times New Roman" w:hAnsi="Times New Roman"/>
          <w:iCs w:val="0"/>
          <w:lang w:val="en-GB"/>
        </w:rPr>
        <w:t>76.04</w:t>
      </w:r>
      <w:r w:rsidRPr="00DF0BEE">
        <w:rPr>
          <w:rFonts w:ascii="Times New Roman" w:hAnsi="Times New Roman"/>
          <w:iCs w:val="0"/>
          <w:lang w:val="en-GB"/>
        </w:rPr>
        <w:t>, SD=1</w:t>
      </w:r>
      <w:r w:rsidR="00DF0BEE" w:rsidRPr="00DF0BEE">
        <w:rPr>
          <w:rFonts w:ascii="Times New Roman" w:hAnsi="Times New Roman"/>
          <w:iCs w:val="0"/>
          <w:lang w:val="en-GB"/>
        </w:rPr>
        <w:t>3.10</w:t>
      </w:r>
      <w:r w:rsidRPr="00DF0BEE">
        <w:rPr>
          <w:rFonts w:ascii="Times New Roman" w:hAnsi="Times New Roman"/>
          <w:iCs w:val="0"/>
          <w:lang w:val="en-GB"/>
        </w:rPr>
        <w:t>, Min=</w:t>
      </w:r>
      <w:r w:rsidR="00DF0BEE" w:rsidRPr="00DF0BEE">
        <w:rPr>
          <w:rFonts w:ascii="Times New Roman" w:hAnsi="Times New Roman"/>
          <w:iCs w:val="0"/>
          <w:lang w:val="en-GB"/>
        </w:rPr>
        <w:t>40</w:t>
      </w:r>
      <w:r w:rsidRPr="00DF0BEE">
        <w:rPr>
          <w:rFonts w:ascii="Times New Roman" w:hAnsi="Times New Roman"/>
          <w:iCs w:val="0"/>
          <w:lang w:val="en-GB"/>
        </w:rPr>
        <w:t xml:space="preserve">, Max=100). </w:t>
      </w:r>
    </w:p>
    <w:p w14:paraId="0F7C9967" w14:textId="22A7188E" w:rsidR="009D53B7" w:rsidRPr="00DF0BEE" w:rsidRDefault="009D53B7" w:rsidP="009D53B7">
      <w:pPr>
        <w:pStyle w:val="Subsection"/>
        <w:rPr>
          <w:rFonts w:ascii="Times New Roman" w:hAnsi="Times New Roman"/>
        </w:rPr>
      </w:pPr>
      <w:r w:rsidRPr="00DF0BEE">
        <w:rPr>
          <w:rFonts w:ascii="Times New Roman" w:hAnsi="Times New Roman"/>
        </w:rPr>
        <w:t>Normality and Homogeneity test</w:t>
      </w:r>
    </w:p>
    <w:p w14:paraId="7F65B42F" w14:textId="7A11DCE4" w:rsidR="009D6FFD" w:rsidRPr="00DF0BEE" w:rsidRDefault="009D6FFD" w:rsidP="009D6FFD">
      <w:pPr>
        <w:pStyle w:val="Bodytext"/>
        <w:rPr>
          <w:rFonts w:ascii="Times New Roman" w:hAnsi="Times New Roman"/>
          <w:iCs w:val="0"/>
          <w:lang w:val="en-GB"/>
        </w:rPr>
      </w:pPr>
      <w:r w:rsidRPr="00DF0BEE">
        <w:rPr>
          <w:rFonts w:ascii="Times New Roman" w:hAnsi="Times New Roman"/>
          <w:iCs w:val="0"/>
          <w:lang w:val="en-GB"/>
        </w:rPr>
        <w:t xml:space="preserve">The normality and homogeneity test was conducted as a prerequisite test to determine </w:t>
      </w:r>
      <w:r w:rsidR="00DF0BEE" w:rsidRPr="00DF0BEE">
        <w:rPr>
          <w:rFonts w:ascii="Times New Roman" w:hAnsi="Times New Roman"/>
          <w:iCs w:val="0"/>
          <w:lang w:val="en-GB"/>
        </w:rPr>
        <w:t>the type of</w:t>
      </w:r>
      <w:r w:rsidRPr="00DF0BEE">
        <w:rPr>
          <w:rFonts w:ascii="Times New Roman" w:hAnsi="Times New Roman"/>
          <w:iCs w:val="0"/>
          <w:lang w:val="en-GB"/>
        </w:rPr>
        <w:t xml:space="preserve"> hypothetical test conducted through the parametric or non-parametric test. The normality test of the post-test score </w:t>
      </w:r>
      <w:r w:rsidR="00DF0BEE" w:rsidRPr="00DF0BEE">
        <w:rPr>
          <w:rFonts w:ascii="Times New Roman" w:hAnsi="Times New Roman"/>
          <w:iCs w:val="0"/>
          <w:lang w:val="en-GB"/>
        </w:rPr>
        <w:t>is</w:t>
      </w:r>
      <w:r w:rsidRPr="00DF0BEE">
        <w:rPr>
          <w:rFonts w:ascii="Times New Roman" w:hAnsi="Times New Roman"/>
          <w:iCs w:val="0"/>
          <w:lang w:val="en-GB"/>
        </w:rPr>
        <w:t xml:space="preserve"> presented in Table </w:t>
      </w:r>
      <w:r w:rsidR="00EB2734" w:rsidRPr="00DF0BEE">
        <w:rPr>
          <w:rFonts w:ascii="Times New Roman" w:hAnsi="Times New Roman"/>
          <w:iCs w:val="0"/>
          <w:lang w:val="en-GB"/>
        </w:rPr>
        <w:t>3.</w:t>
      </w:r>
    </w:p>
    <w:p w14:paraId="568187AC" w14:textId="21069447" w:rsidR="00450111" w:rsidRPr="00DF0BEE" w:rsidRDefault="00450111" w:rsidP="00450111">
      <w:pPr>
        <w:autoSpaceDE w:val="0"/>
        <w:autoSpaceDN w:val="0"/>
        <w:adjustRightInd w:val="0"/>
        <w:jc w:val="center"/>
        <w:rPr>
          <w:rFonts w:ascii="Times New Roman" w:hAnsi="Times New Roman"/>
          <w:szCs w:val="22"/>
          <w:lang w:val="en-ID" w:eastAsia="en-GB"/>
        </w:rPr>
      </w:pPr>
      <w:proofErr w:type="spellStart"/>
      <w:r w:rsidRPr="00DF0BEE">
        <w:rPr>
          <w:rFonts w:ascii="Times New Roman" w:hAnsi="Times New Roman"/>
          <w:b/>
          <w:bCs/>
          <w:szCs w:val="22"/>
          <w:lang w:val="en-ID" w:eastAsia="en-GB"/>
        </w:rPr>
        <w:t>Tabel</w:t>
      </w:r>
      <w:proofErr w:type="spellEnd"/>
      <w:r w:rsidR="00EB2734" w:rsidRPr="00DF0BEE">
        <w:rPr>
          <w:rFonts w:ascii="Times New Roman" w:hAnsi="Times New Roman"/>
          <w:b/>
          <w:bCs/>
          <w:szCs w:val="22"/>
          <w:lang w:val="en-ID" w:eastAsia="en-GB"/>
        </w:rPr>
        <w:t xml:space="preserve"> 3</w:t>
      </w:r>
      <w:r w:rsidRPr="00DF0BEE">
        <w:rPr>
          <w:rFonts w:ascii="Times New Roman" w:hAnsi="Times New Roman"/>
          <w:b/>
          <w:bCs/>
          <w:szCs w:val="22"/>
          <w:lang w:val="en-ID" w:eastAsia="en-GB"/>
        </w:rPr>
        <w:t>.</w:t>
      </w:r>
      <w:r w:rsidRPr="00DF0BEE">
        <w:rPr>
          <w:rFonts w:ascii="Times New Roman" w:hAnsi="Times New Roman"/>
          <w:szCs w:val="22"/>
          <w:lang w:val="en-ID" w:eastAsia="en-GB"/>
        </w:rPr>
        <w:t xml:space="preserve"> Normality Test of Post-Test Score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1857"/>
        <w:gridCol w:w="1857"/>
        <w:gridCol w:w="1858"/>
        <w:gridCol w:w="1858"/>
      </w:tblGrid>
      <w:tr w:rsidR="00A93BAE" w:rsidRPr="00DF0BEE" w14:paraId="2444AADF" w14:textId="77777777" w:rsidTr="008E2C5F">
        <w:tc>
          <w:tcPr>
            <w:tcW w:w="1857" w:type="dxa"/>
            <w:vMerge w:val="restart"/>
            <w:tcBorders>
              <w:top w:val="single" w:sz="4" w:space="0" w:color="auto"/>
              <w:bottom w:val="single" w:sz="4" w:space="0" w:color="auto"/>
            </w:tcBorders>
            <w:vAlign w:val="center"/>
          </w:tcPr>
          <w:p w14:paraId="0A456D63" w14:textId="2D499BCF"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Variable</w:t>
            </w:r>
          </w:p>
        </w:tc>
        <w:tc>
          <w:tcPr>
            <w:tcW w:w="1857" w:type="dxa"/>
            <w:vMerge w:val="restart"/>
            <w:tcBorders>
              <w:top w:val="single" w:sz="4" w:space="0" w:color="auto"/>
              <w:bottom w:val="single" w:sz="4" w:space="0" w:color="auto"/>
            </w:tcBorders>
            <w:vAlign w:val="center"/>
          </w:tcPr>
          <w:p w14:paraId="24821EC5" w14:textId="7F9CE3E6"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Group</w:t>
            </w:r>
          </w:p>
        </w:tc>
        <w:tc>
          <w:tcPr>
            <w:tcW w:w="5573" w:type="dxa"/>
            <w:gridSpan w:val="3"/>
            <w:tcBorders>
              <w:bottom w:val="nil"/>
            </w:tcBorders>
            <w:vAlign w:val="center"/>
          </w:tcPr>
          <w:p w14:paraId="4527D5DF" w14:textId="74B0E45C" w:rsidR="00A93BAE" w:rsidRPr="00DF0BEE" w:rsidRDefault="00A93BAE" w:rsidP="00450111">
            <w:pPr>
              <w:autoSpaceDE w:val="0"/>
              <w:autoSpaceDN w:val="0"/>
              <w:adjustRightInd w:val="0"/>
              <w:jc w:val="center"/>
              <w:rPr>
                <w:rFonts w:ascii="Times New Roman" w:hAnsi="Times New Roman"/>
                <w:szCs w:val="22"/>
                <w:lang w:val="en-ID" w:eastAsia="en-GB"/>
              </w:rPr>
            </w:pPr>
            <w:r w:rsidRPr="00DF0BEE">
              <w:rPr>
                <w:rFonts w:ascii="Times New Roman" w:hAnsi="Times New Roman"/>
                <w:color w:val="000000" w:themeColor="text1"/>
                <w:szCs w:val="22"/>
                <w:lang w:val="en-ID" w:eastAsia="en-GB"/>
              </w:rPr>
              <w:t>Kolmogorov-Smirnov</w:t>
            </w:r>
            <w:r w:rsidRPr="00DF0BEE">
              <w:rPr>
                <w:rFonts w:ascii="Times New Roman" w:hAnsi="Times New Roman"/>
                <w:color w:val="000000" w:themeColor="text1"/>
                <w:szCs w:val="22"/>
                <w:vertAlign w:val="superscript"/>
                <w:lang w:val="en-ID" w:eastAsia="en-GB"/>
              </w:rPr>
              <w:t>a</w:t>
            </w:r>
          </w:p>
        </w:tc>
      </w:tr>
      <w:tr w:rsidR="00A93BAE" w:rsidRPr="00DF0BEE" w14:paraId="15FE64A1" w14:textId="77777777" w:rsidTr="008E2C5F">
        <w:tc>
          <w:tcPr>
            <w:tcW w:w="1857" w:type="dxa"/>
            <w:vMerge/>
            <w:tcBorders>
              <w:top w:val="nil"/>
              <w:bottom w:val="single" w:sz="4" w:space="0" w:color="auto"/>
            </w:tcBorders>
            <w:vAlign w:val="center"/>
          </w:tcPr>
          <w:p w14:paraId="795C0533" w14:textId="3F2C9B2B" w:rsidR="00A93BAE" w:rsidRPr="00DF0BEE" w:rsidRDefault="00A93BAE" w:rsidP="00A93BAE">
            <w:pPr>
              <w:autoSpaceDE w:val="0"/>
              <w:autoSpaceDN w:val="0"/>
              <w:adjustRightInd w:val="0"/>
              <w:jc w:val="center"/>
              <w:rPr>
                <w:rFonts w:ascii="Times New Roman" w:hAnsi="Times New Roman"/>
                <w:szCs w:val="22"/>
                <w:lang w:val="en-ID" w:eastAsia="en-GB"/>
              </w:rPr>
            </w:pPr>
          </w:p>
        </w:tc>
        <w:tc>
          <w:tcPr>
            <w:tcW w:w="1857" w:type="dxa"/>
            <w:vMerge/>
            <w:tcBorders>
              <w:top w:val="nil"/>
              <w:bottom w:val="single" w:sz="4" w:space="0" w:color="auto"/>
            </w:tcBorders>
            <w:vAlign w:val="center"/>
          </w:tcPr>
          <w:p w14:paraId="5A406DB6" w14:textId="365F4312" w:rsidR="00A93BAE" w:rsidRPr="00DF0BEE" w:rsidRDefault="00A93BAE" w:rsidP="00A93BAE">
            <w:pPr>
              <w:autoSpaceDE w:val="0"/>
              <w:autoSpaceDN w:val="0"/>
              <w:adjustRightInd w:val="0"/>
              <w:jc w:val="center"/>
              <w:rPr>
                <w:rFonts w:ascii="Times New Roman" w:hAnsi="Times New Roman"/>
                <w:szCs w:val="22"/>
                <w:lang w:val="en-ID" w:eastAsia="en-GB"/>
              </w:rPr>
            </w:pPr>
          </w:p>
        </w:tc>
        <w:tc>
          <w:tcPr>
            <w:tcW w:w="1857" w:type="dxa"/>
            <w:tcBorders>
              <w:top w:val="nil"/>
              <w:bottom w:val="single" w:sz="4" w:space="0" w:color="auto"/>
            </w:tcBorders>
            <w:vAlign w:val="center"/>
          </w:tcPr>
          <w:p w14:paraId="74BDC671" w14:textId="158B48D5"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 xml:space="preserve">Statistic </w:t>
            </w:r>
          </w:p>
        </w:tc>
        <w:tc>
          <w:tcPr>
            <w:tcW w:w="1858" w:type="dxa"/>
            <w:tcBorders>
              <w:top w:val="nil"/>
              <w:bottom w:val="single" w:sz="4" w:space="0" w:color="auto"/>
            </w:tcBorders>
            <w:vAlign w:val="center"/>
          </w:tcPr>
          <w:p w14:paraId="2F72C966" w14:textId="1B75D0BF"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df</w:t>
            </w:r>
          </w:p>
        </w:tc>
        <w:tc>
          <w:tcPr>
            <w:tcW w:w="1858" w:type="dxa"/>
            <w:tcBorders>
              <w:top w:val="nil"/>
              <w:bottom w:val="single" w:sz="4" w:space="0" w:color="auto"/>
            </w:tcBorders>
            <w:vAlign w:val="center"/>
          </w:tcPr>
          <w:p w14:paraId="61A51AB4" w14:textId="11D6002A"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Sig.</w:t>
            </w:r>
          </w:p>
        </w:tc>
      </w:tr>
      <w:tr w:rsidR="00A93BAE" w:rsidRPr="00DF0BEE" w14:paraId="58853BB9" w14:textId="77777777" w:rsidTr="008E2C5F">
        <w:tc>
          <w:tcPr>
            <w:tcW w:w="1857" w:type="dxa"/>
            <w:vMerge w:val="restart"/>
            <w:tcBorders>
              <w:top w:val="single" w:sz="4" w:space="0" w:color="auto"/>
            </w:tcBorders>
            <w:vAlign w:val="center"/>
          </w:tcPr>
          <w:p w14:paraId="5B6723EB" w14:textId="4032455D"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SMU</w:t>
            </w:r>
          </w:p>
        </w:tc>
        <w:tc>
          <w:tcPr>
            <w:tcW w:w="1857" w:type="dxa"/>
            <w:tcBorders>
              <w:top w:val="single" w:sz="4" w:space="0" w:color="auto"/>
            </w:tcBorders>
            <w:vAlign w:val="center"/>
          </w:tcPr>
          <w:p w14:paraId="1ED9C763" w14:textId="0A01B144" w:rsidR="00A93BAE" w:rsidRPr="00DF0BEE" w:rsidRDefault="00A93BAE" w:rsidP="008E2C5F">
            <w:pPr>
              <w:autoSpaceDE w:val="0"/>
              <w:autoSpaceDN w:val="0"/>
              <w:adjustRightInd w:val="0"/>
              <w:rPr>
                <w:rFonts w:ascii="Times New Roman" w:hAnsi="Times New Roman"/>
                <w:szCs w:val="22"/>
                <w:lang w:val="en-ID" w:eastAsia="en-GB"/>
              </w:rPr>
            </w:pPr>
            <w:proofErr w:type="spellStart"/>
            <w:r w:rsidRPr="00DF0BEE">
              <w:rPr>
                <w:rFonts w:ascii="Times New Roman" w:hAnsi="Times New Roman"/>
                <w:szCs w:val="22"/>
                <w:lang w:val="en-ID" w:eastAsia="en-GB"/>
              </w:rPr>
              <w:t>Powerpoint</w:t>
            </w:r>
            <w:proofErr w:type="spellEnd"/>
          </w:p>
        </w:tc>
        <w:tc>
          <w:tcPr>
            <w:tcW w:w="1857" w:type="dxa"/>
            <w:tcBorders>
              <w:top w:val="single" w:sz="4" w:space="0" w:color="auto"/>
            </w:tcBorders>
            <w:vAlign w:val="center"/>
          </w:tcPr>
          <w:p w14:paraId="23C2F2B7" w14:textId="04B35CF6"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.140</w:t>
            </w:r>
          </w:p>
        </w:tc>
        <w:tc>
          <w:tcPr>
            <w:tcW w:w="1858" w:type="dxa"/>
            <w:tcBorders>
              <w:top w:val="single" w:sz="4" w:space="0" w:color="auto"/>
            </w:tcBorders>
            <w:vAlign w:val="center"/>
          </w:tcPr>
          <w:p w14:paraId="08E6107B" w14:textId="3452085A"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24</w:t>
            </w:r>
          </w:p>
        </w:tc>
        <w:tc>
          <w:tcPr>
            <w:tcW w:w="1858" w:type="dxa"/>
            <w:tcBorders>
              <w:top w:val="single" w:sz="4" w:space="0" w:color="auto"/>
            </w:tcBorders>
            <w:vAlign w:val="center"/>
          </w:tcPr>
          <w:p w14:paraId="7D12E26C" w14:textId="27999E24"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.200</w:t>
            </w:r>
            <w:r w:rsidRPr="00DF0BEE">
              <w:rPr>
                <w:rFonts w:ascii="Times New Roman" w:hAnsi="Times New Roman"/>
                <w:szCs w:val="22"/>
                <w:vertAlign w:val="superscript"/>
                <w:lang w:val="en-ID" w:eastAsia="en-GB"/>
              </w:rPr>
              <w:t>*</w:t>
            </w:r>
          </w:p>
        </w:tc>
      </w:tr>
      <w:tr w:rsidR="00A93BAE" w:rsidRPr="00DF0BEE" w14:paraId="07DCD7EC" w14:textId="77777777" w:rsidTr="008E2C5F">
        <w:tc>
          <w:tcPr>
            <w:tcW w:w="1857" w:type="dxa"/>
            <w:vMerge/>
            <w:vAlign w:val="center"/>
          </w:tcPr>
          <w:p w14:paraId="0A511708" w14:textId="77777777" w:rsidR="00A93BAE" w:rsidRPr="00DF0BEE" w:rsidRDefault="00A93BAE" w:rsidP="00A93BAE">
            <w:pPr>
              <w:autoSpaceDE w:val="0"/>
              <w:autoSpaceDN w:val="0"/>
              <w:adjustRightInd w:val="0"/>
              <w:jc w:val="center"/>
              <w:rPr>
                <w:rFonts w:ascii="Times New Roman" w:hAnsi="Times New Roman"/>
                <w:szCs w:val="22"/>
                <w:lang w:val="en-ID" w:eastAsia="en-GB"/>
              </w:rPr>
            </w:pPr>
          </w:p>
        </w:tc>
        <w:tc>
          <w:tcPr>
            <w:tcW w:w="1857" w:type="dxa"/>
            <w:vAlign w:val="center"/>
          </w:tcPr>
          <w:p w14:paraId="63ED33D1" w14:textId="59A5D50C" w:rsidR="00A93BAE" w:rsidRPr="00DF0BEE" w:rsidRDefault="00A93BAE" w:rsidP="008E2C5F">
            <w:pPr>
              <w:autoSpaceDE w:val="0"/>
              <w:autoSpaceDN w:val="0"/>
              <w:adjustRightInd w:val="0"/>
              <w:rPr>
                <w:rFonts w:ascii="Times New Roman" w:hAnsi="Times New Roman"/>
                <w:szCs w:val="22"/>
                <w:lang w:val="en-ID" w:eastAsia="en-GB"/>
              </w:rPr>
            </w:pPr>
            <w:proofErr w:type="spellStart"/>
            <w:r w:rsidRPr="00DF0BEE">
              <w:rPr>
                <w:rFonts w:ascii="Times New Roman" w:hAnsi="Times New Roman"/>
                <w:szCs w:val="22"/>
                <w:lang w:val="en-ID" w:eastAsia="en-GB"/>
              </w:rPr>
              <w:t>PhET</w:t>
            </w:r>
            <w:proofErr w:type="spellEnd"/>
            <w:r w:rsidRPr="00DF0BEE">
              <w:rPr>
                <w:rFonts w:ascii="Times New Roman" w:hAnsi="Times New Roman"/>
                <w:szCs w:val="22"/>
                <w:lang w:val="en-ID" w:eastAsia="en-GB"/>
              </w:rPr>
              <w:t xml:space="preserve"> Interactive Simulation</w:t>
            </w:r>
          </w:p>
        </w:tc>
        <w:tc>
          <w:tcPr>
            <w:tcW w:w="1857" w:type="dxa"/>
            <w:vAlign w:val="center"/>
          </w:tcPr>
          <w:p w14:paraId="1DE9D5AF" w14:textId="0C248BA3"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.135</w:t>
            </w:r>
          </w:p>
        </w:tc>
        <w:tc>
          <w:tcPr>
            <w:tcW w:w="1858" w:type="dxa"/>
            <w:vAlign w:val="center"/>
          </w:tcPr>
          <w:p w14:paraId="2EB75E9C" w14:textId="76097EFE"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24</w:t>
            </w:r>
          </w:p>
        </w:tc>
        <w:tc>
          <w:tcPr>
            <w:tcW w:w="1858" w:type="dxa"/>
            <w:vAlign w:val="center"/>
          </w:tcPr>
          <w:p w14:paraId="4BB55DD0" w14:textId="2102DC8A" w:rsidR="00A93BAE" w:rsidRPr="00DF0BEE" w:rsidRDefault="008E2C5F"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.200</w:t>
            </w:r>
            <w:r w:rsidRPr="00DF0BEE">
              <w:rPr>
                <w:rFonts w:ascii="Times New Roman" w:hAnsi="Times New Roman"/>
                <w:szCs w:val="22"/>
                <w:vertAlign w:val="superscript"/>
                <w:lang w:val="en-ID" w:eastAsia="en-GB"/>
              </w:rPr>
              <w:t>*</w:t>
            </w:r>
          </w:p>
        </w:tc>
      </w:tr>
    </w:tbl>
    <w:p w14:paraId="1BDDE81D" w14:textId="77777777" w:rsidR="00A93BAE" w:rsidRPr="00DF0BEE" w:rsidRDefault="00A93BAE" w:rsidP="00450111">
      <w:pPr>
        <w:autoSpaceDE w:val="0"/>
        <w:autoSpaceDN w:val="0"/>
        <w:adjustRightInd w:val="0"/>
        <w:jc w:val="center"/>
        <w:rPr>
          <w:rFonts w:ascii="Times New Roman" w:hAnsi="Times New Roman"/>
          <w:szCs w:val="22"/>
          <w:lang w:val="en-ID" w:eastAsia="en-GB"/>
        </w:rPr>
      </w:pPr>
    </w:p>
    <w:p w14:paraId="5333EEBA" w14:textId="48E6F56E" w:rsidR="00E526F6" w:rsidRDefault="00DF0BEE" w:rsidP="00DF0BEE">
      <w:pPr>
        <w:pStyle w:val="BodytextIndented"/>
        <w:rPr>
          <w:rFonts w:ascii="Times New Roman" w:hAnsi="Times New Roman"/>
          <w:iCs w:val="0"/>
          <w:lang w:val="en-GB"/>
        </w:rPr>
      </w:pPr>
      <w:r w:rsidRPr="00DF0BEE">
        <w:rPr>
          <w:rFonts w:ascii="Times New Roman" w:hAnsi="Times New Roman"/>
          <w:iCs w:val="0"/>
          <w:lang w:val="en-GB"/>
        </w:rPr>
        <w:t xml:space="preserve">According to the normality test result of the </w:t>
      </w:r>
      <w:r>
        <w:rPr>
          <w:rFonts w:ascii="Times New Roman" w:hAnsi="Times New Roman"/>
          <w:iCs w:val="0"/>
          <w:lang w:val="en-GB"/>
        </w:rPr>
        <w:t>post-test</w:t>
      </w:r>
      <w:r w:rsidRPr="00DF0BEE">
        <w:rPr>
          <w:rFonts w:ascii="Times New Roman" w:hAnsi="Times New Roman"/>
          <w:iCs w:val="0"/>
          <w:lang w:val="en-GB"/>
        </w:rPr>
        <w:t xml:space="preserve"> score of SMU </w:t>
      </w:r>
      <w:r>
        <w:rPr>
          <w:rFonts w:ascii="Times New Roman" w:hAnsi="Times New Roman"/>
          <w:iCs w:val="0"/>
          <w:lang w:val="en-GB"/>
        </w:rPr>
        <w:t>presented</w:t>
      </w:r>
      <w:r w:rsidRPr="00DF0BEE">
        <w:rPr>
          <w:rFonts w:ascii="Times New Roman" w:hAnsi="Times New Roman"/>
          <w:iCs w:val="0"/>
          <w:lang w:val="en-GB"/>
        </w:rPr>
        <w:t xml:space="preserve"> in Table </w:t>
      </w:r>
      <w:r>
        <w:rPr>
          <w:rFonts w:ascii="Times New Roman" w:hAnsi="Times New Roman"/>
          <w:iCs w:val="0"/>
          <w:lang w:val="en-GB"/>
        </w:rPr>
        <w:t>3</w:t>
      </w:r>
      <w:r w:rsidRPr="00DF0BEE">
        <w:rPr>
          <w:rFonts w:ascii="Times New Roman" w:hAnsi="Times New Roman"/>
          <w:iCs w:val="0"/>
          <w:lang w:val="en-GB"/>
        </w:rPr>
        <w:t>,</w:t>
      </w:r>
      <w:r w:rsidRPr="00DF0BEE">
        <w:rPr>
          <w:rFonts w:ascii="Times New Roman" w:hAnsi="Times New Roman"/>
          <w:iCs w:val="0"/>
          <w:lang w:val="en-GB"/>
        </w:rPr>
        <w:br/>
        <w:t xml:space="preserve">the normality test for SMU of students </w:t>
      </w:r>
      <w:r>
        <w:rPr>
          <w:rFonts w:ascii="Times New Roman" w:hAnsi="Times New Roman"/>
          <w:iCs w:val="0"/>
          <w:lang w:val="en-GB"/>
        </w:rPr>
        <w:t xml:space="preserve">that participating mathematics learning using PowerPoint </w:t>
      </w:r>
      <w:r w:rsidRPr="00DF0BEE">
        <w:rPr>
          <w:rFonts w:ascii="Times New Roman" w:hAnsi="Times New Roman"/>
          <w:iCs w:val="0"/>
          <w:lang w:val="en-GB"/>
        </w:rPr>
        <w:t>indicates that (D(2</w:t>
      </w:r>
      <w:r>
        <w:rPr>
          <w:rFonts w:ascii="Times New Roman" w:hAnsi="Times New Roman"/>
          <w:iCs w:val="0"/>
          <w:lang w:val="en-GB"/>
        </w:rPr>
        <w:t>4</w:t>
      </w:r>
      <w:r w:rsidRPr="00DF0BEE">
        <w:rPr>
          <w:rFonts w:ascii="Times New Roman" w:hAnsi="Times New Roman"/>
          <w:iCs w:val="0"/>
          <w:lang w:val="en-GB"/>
        </w:rPr>
        <w:t xml:space="preserve"> = 0.</w:t>
      </w:r>
      <w:r>
        <w:rPr>
          <w:rFonts w:ascii="Times New Roman" w:hAnsi="Times New Roman"/>
          <w:iCs w:val="0"/>
          <w:lang w:val="en-GB"/>
        </w:rPr>
        <w:t>200</w:t>
      </w:r>
      <w:r w:rsidRPr="00DF0BEE">
        <w:rPr>
          <w:rFonts w:ascii="Times New Roman" w:hAnsi="Times New Roman"/>
          <w:iCs w:val="0"/>
          <w:lang w:val="en-GB"/>
        </w:rPr>
        <w:t xml:space="preserve">, P </w:t>
      </w:r>
      <w:r>
        <w:rPr>
          <w:rFonts w:ascii="Times New Roman" w:hAnsi="Times New Roman"/>
          <w:iCs w:val="0"/>
          <w:lang w:val="en-GB"/>
        </w:rPr>
        <w:t>&gt;</w:t>
      </w:r>
      <w:r w:rsidRPr="00DF0BEE">
        <w:rPr>
          <w:rFonts w:ascii="Times New Roman" w:hAnsi="Times New Roman"/>
          <w:iCs w:val="0"/>
          <w:lang w:val="en-GB"/>
        </w:rPr>
        <w:t xml:space="preserve"> 0.05), therefore it</w:t>
      </w:r>
      <w:r>
        <w:rPr>
          <w:rFonts w:ascii="Times New Roman" w:hAnsi="Times New Roman"/>
          <w:iCs w:val="0"/>
          <w:lang w:val="en-GB"/>
        </w:rPr>
        <w:t xml:space="preserve"> </w:t>
      </w:r>
      <w:r w:rsidRPr="00DF0BEE">
        <w:rPr>
          <w:rFonts w:ascii="Times New Roman" w:hAnsi="Times New Roman"/>
          <w:iCs w:val="0"/>
          <w:lang w:val="en-GB"/>
        </w:rPr>
        <w:t xml:space="preserve">can be concluded that the SMU score of students with </w:t>
      </w:r>
      <w:proofErr w:type="spellStart"/>
      <w:r>
        <w:rPr>
          <w:rFonts w:ascii="Times New Roman" w:hAnsi="Times New Roman"/>
          <w:iCs w:val="0"/>
          <w:lang w:val="en-GB"/>
        </w:rPr>
        <w:t>PowePoint</w:t>
      </w:r>
      <w:proofErr w:type="spellEnd"/>
      <w:r w:rsidRPr="00DF0BEE">
        <w:rPr>
          <w:rFonts w:ascii="Times New Roman" w:hAnsi="Times New Roman"/>
          <w:iCs w:val="0"/>
          <w:lang w:val="en-GB"/>
        </w:rPr>
        <w:t xml:space="preserve"> is normally distributed</w:t>
      </w:r>
      <w:r>
        <w:rPr>
          <w:rFonts w:ascii="Times New Roman" w:hAnsi="Times New Roman"/>
          <w:iCs w:val="0"/>
          <w:lang w:val="en-GB"/>
        </w:rPr>
        <w:t xml:space="preserve">.  Moreover, the result of the normality test for students who participated </w:t>
      </w:r>
      <w:r w:rsidR="0083655E">
        <w:rPr>
          <w:rFonts w:ascii="Times New Roman" w:hAnsi="Times New Roman"/>
          <w:iCs w:val="0"/>
          <w:lang w:val="en-GB"/>
        </w:rPr>
        <w:t xml:space="preserve">in </w:t>
      </w:r>
      <w:r>
        <w:rPr>
          <w:rFonts w:ascii="Times New Roman" w:hAnsi="Times New Roman"/>
          <w:iCs w:val="0"/>
          <w:lang w:val="en-GB"/>
        </w:rPr>
        <w:t xml:space="preserve">mathematics learning using </w:t>
      </w:r>
      <w:proofErr w:type="spellStart"/>
      <w:r w:rsidRPr="0083655E">
        <w:rPr>
          <w:rFonts w:ascii="Times New Roman" w:hAnsi="Times New Roman"/>
          <w:i/>
          <w:lang w:val="en-GB"/>
        </w:rPr>
        <w:t>PhET</w:t>
      </w:r>
      <w:proofErr w:type="spellEnd"/>
      <w:r w:rsidRPr="0083655E">
        <w:rPr>
          <w:rFonts w:ascii="Times New Roman" w:hAnsi="Times New Roman"/>
          <w:i/>
          <w:lang w:val="en-GB"/>
        </w:rPr>
        <w:t xml:space="preserve"> i</w:t>
      </w:r>
      <w:r w:rsidR="0083655E" w:rsidRPr="0083655E">
        <w:rPr>
          <w:rFonts w:ascii="Times New Roman" w:hAnsi="Times New Roman"/>
          <w:i/>
          <w:lang w:val="en-GB"/>
        </w:rPr>
        <w:t>nteractive simulation</w:t>
      </w:r>
      <w:r w:rsidR="0083655E">
        <w:rPr>
          <w:rFonts w:ascii="Times New Roman" w:hAnsi="Times New Roman"/>
          <w:iCs w:val="0"/>
          <w:lang w:val="en-GB"/>
        </w:rPr>
        <w:t xml:space="preserve"> indicated that </w:t>
      </w:r>
      <w:r w:rsidR="0083655E" w:rsidRPr="00DF0BEE">
        <w:rPr>
          <w:rFonts w:ascii="Times New Roman" w:hAnsi="Times New Roman"/>
          <w:iCs w:val="0"/>
          <w:lang w:val="en-GB"/>
        </w:rPr>
        <w:t>(D(2</w:t>
      </w:r>
      <w:r w:rsidR="0083655E">
        <w:rPr>
          <w:rFonts w:ascii="Times New Roman" w:hAnsi="Times New Roman"/>
          <w:iCs w:val="0"/>
          <w:lang w:val="en-GB"/>
        </w:rPr>
        <w:t>4</w:t>
      </w:r>
      <w:r w:rsidR="0083655E" w:rsidRPr="00DF0BEE">
        <w:rPr>
          <w:rFonts w:ascii="Times New Roman" w:hAnsi="Times New Roman"/>
          <w:iCs w:val="0"/>
          <w:lang w:val="en-GB"/>
        </w:rPr>
        <w:t xml:space="preserve"> = 0.</w:t>
      </w:r>
      <w:r w:rsidR="0083655E">
        <w:rPr>
          <w:rFonts w:ascii="Times New Roman" w:hAnsi="Times New Roman"/>
          <w:iCs w:val="0"/>
          <w:lang w:val="en-GB"/>
        </w:rPr>
        <w:t>200</w:t>
      </w:r>
      <w:r w:rsidR="0083655E" w:rsidRPr="00DF0BEE">
        <w:rPr>
          <w:rFonts w:ascii="Times New Roman" w:hAnsi="Times New Roman"/>
          <w:iCs w:val="0"/>
          <w:lang w:val="en-GB"/>
        </w:rPr>
        <w:t xml:space="preserve">, P </w:t>
      </w:r>
      <w:r w:rsidR="0083655E">
        <w:rPr>
          <w:rFonts w:ascii="Times New Roman" w:hAnsi="Times New Roman"/>
          <w:iCs w:val="0"/>
          <w:lang w:val="en-GB"/>
        </w:rPr>
        <w:t>&gt;</w:t>
      </w:r>
      <w:r w:rsidR="0083655E" w:rsidRPr="00DF0BEE">
        <w:rPr>
          <w:rFonts w:ascii="Times New Roman" w:hAnsi="Times New Roman"/>
          <w:iCs w:val="0"/>
          <w:lang w:val="en-GB"/>
        </w:rPr>
        <w:t xml:space="preserve"> 0.05), therefore it</w:t>
      </w:r>
      <w:r w:rsidR="0083655E">
        <w:rPr>
          <w:rFonts w:ascii="Times New Roman" w:hAnsi="Times New Roman"/>
          <w:iCs w:val="0"/>
          <w:lang w:val="en-GB"/>
        </w:rPr>
        <w:t xml:space="preserve"> </w:t>
      </w:r>
      <w:r w:rsidR="0083655E" w:rsidRPr="00DF0BEE">
        <w:rPr>
          <w:rFonts w:ascii="Times New Roman" w:hAnsi="Times New Roman"/>
          <w:iCs w:val="0"/>
          <w:lang w:val="en-GB"/>
        </w:rPr>
        <w:t xml:space="preserve">can be concluded that the SMU score of students with </w:t>
      </w:r>
      <w:proofErr w:type="spellStart"/>
      <w:r w:rsidR="0083655E" w:rsidRPr="0083655E">
        <w:rPr>
          <w:rFonts w:ascii="Times New Roman" w:hAnsi="Times New Roman"/>
          <w:i/>
          <w:lang w:val="en-GB"/>
        </w:rPr>
        <w:t>PhET</w:t>
      </w:r>
      <w:proofErr w:type="spellEnd"/>
      <w:r w:rsidR="0083655E" w:rsidRPr="0083655E">
        <w:rPr>
          <w:rFonts w:ascii="Times New Roman" w:hAnsi="Times New Roman"/>
          <w:i/>
          <w:lang w:val="en-GB"/>
        </w:rPr>
        <w:t xml:space="preserve"> interactive simulation</w:t>
      </w:r>
      <w:r w:rsidR="0083655E" w:rsidRPr="00DF0BEE">
        <w:rPr>
          <w:rFonts w:ascii="Times New Roman" w:hAnsi="Times New Roman"/>
          <w:iCs w:val="0"/>
          <w:lang w:val="en-GB"/>
        </w:rPr>
        <w:t xml:space="preserve"> is normally distributed</w:t>
      </w:r>
      <w:r w:rsidR="0083655E">
        <w:rPr>
          <w:rFonts w:ascii="Times New Roman" w:hAnsi="Times New Roman"/>
          <w:iCs w:val="0"/>
          <w:lang w:val="en-GB"/>
        </w:rPr>
        <w:t xml:space="preserve">. </w:t>
      </w:r>
    </w:p>
    <w:p w14:paraId="5F625AD8" w14:textId="7035678F" w:rsidR="0083655E" w:rsidRPr="00DF0BEE" w:rsidRDefault="0083655E" w:rsidP="00DF0BEE">
      <w:pPr>
        <w:pStyle w:val="BodytextIndented"/>
        <w:rPr>
          <w:rFonts w:ascii="Times New Roman" w:hAnsi="Times New Roman"/>
          <w:iCs w:val="0"/>
          <w:lang w:val="en-GB"/>
        </w:rPr>
      </w:pPr>
      <w:r w:rsidRPr="0083655E">
        <w:rPr>
          <w:rFonts w:ascii="TimesNewRomanPSMT" w:hAnsi="TimesNewRomanPSMT"/>
          <w:iCs w:val="0"/>
          <w:lang w:val="en-GB"/>
        </w:rPr>
        <w:t>After the prerequisite test conducted through the normality test, then the homogeneity test of</w:t>
      </w:r>
      <w:r w:rsidRPr="0083655E">
        <w:rPr>
          <w:rFonts w:ascii="TimesNewRomanPSMT" w:hAnsi="TimesNewRomanPSMT"/>
          <w:iCs w:val="0"/>
          <w:lang w:val="en-GB"/>
        </w:rPr>
        <w:br/>
      </w:r>
      <w:r>
        <w:rPr>
          <w:rFonts w:ascii="TimesNewRomanPSMT" w:hAnsi="TimesNewRomanPSMT"/>
          <w:iCs w:val="0"/>
          <w:lang w:val="en-GB"/>
        </w:rPr>
        <w:t xml:space="preserve">the </w:t>
      </w:r>
      <w:r w:rsidRPr="0083655E">
        <w:rPr>
          <w:rFonts w:ascii="TimesNewRomanPSMT" w:hAnsi="TimesNewRomanPSMT"/>
          <w:iCs w:val="0"/>
          <w:lang w:val="en-GB"/>
        </w:rPr>
        <w:t>variance was conducted to determine whether the data were homogenous or heterogenous. The</w:t>
      </w:r>
      <w:r>
        <w:rPr>
          <w:rFonts w:ascii="TimesNewRomanPSMT" w:hAnsi="TimesNewRomanPSMT"/>
          <w:iCs w:val="0"/>
          <w:lang w:val="en-GB"/>
        </w:rPr>
        <w:t xml:space="preserve"> </w:t>
      </w:r>
      <w:r w:rsidRPr="0083655E">
        <w:rPr>
          <w:rFonts w:ascii="TimesNewRomanPSMT" w:hAnsi="TimesNewRomanPSMT"/>
          <w:iCs w:val="0"/>
          <w:lang w:val="en-GB"/>
        </w:rPr>
        <w:t>result of</w:t>
      </w:r>
      <w:r>
        <w:rPr>
          <w:rFonts w:ascii="TimesNewRomanPSMT" w:hAnsi="TimesNewRomanPSMT"/>
          <w:iCs w:val="0"/>
          <w:lang w:val="en-GB"/>
        </w:rPr>
        <w:t xml:space="preserve"> </w:t>
      </w:r>
      <w:r w:rsidRPr="0083655E">
        <w:rPr>
          <w:rFonts w:ascii="TimesNewRomanPSMT" w:hAnsi="TimesNewRomanPSMT"/>
          <w:iCs w:val="0"/>
          <w:lang w:val="en-GB"/>
        </w:rPr>
        <w:t xml:space="preserve">the homogeneity test is presented in Table </w:t>
      </w:r>
      <w:r>
        <w:rPr>
          <w:rFonts w:ascii="TimesNewRomanPSMT" w:hAnsi="TimesNewRomanPSMT"/>
          <w:iCs w:val="0"/>
          <w:lang w:val="en-GB"/>
        </w:rPr>
        <w:t>4</w:t>
      </w:r>
      <w:r w:rsidRPr="0083655E">
        <w:rPr>
          <w:rFonts w:ascii="TimesNewRomanPSMT" w:hAnsi="TimesNewRomanPSMT"/>
          <w:iCs w:val="0"/>
          <w:lang w:val="en-GB"/>
        </w:rPr>
        <w:t>.</w:t>
      </w:r>
    </w:p>
    <w:p w14:paraId="33210A39" w14:textId="33B95423" w:rsidR="00EB2734" w:rsidRPr="00DF0BEE" w:rsidRDefault="00EB2734" w:rsidP="00EB2734">
      <w:pPr>
        <w:autoSpaceDE w:val="0"/>
        <w:autoSpaceDN w:val="0"/>
        <w:adjustRightInd w:val="0"/>
        <w:spacing w:line="400" w:lineRule="atLeast"/>
        <w:jc w:val="center"/>
        <w:rPr>
          <w:rFonts w:ascii="Times New Roman" w:hAnsi="Times New Roman"/>
          <w:szCs w:val="22"/>
          <w:lang w:val="en-ID" w:eastAsia="en-GB"/>
        </w:rPr>
      </w:pPr>
      <w:proofErr w:type="spellStart"/>
      <w:r w:rsidRPr="00DF0BEE">
        <w:rPr>
          <w:rFonts w:ascii="Times New Roman" w:hAnsi="Times New Roman"/>
          <w:b/>
          <w:bCs/>
          <w:szCs w:val="22"/>
          <w:lang w:val="en-ID" w:eastAsia="en-GB"/>
        </w:rPr>
        <w:t>Tabel</w:t>
      </w:r>
      <w:proofErr w:type="spellEnd"/>
      <w:r w:rsidRPr="00DF0BEE">
        <w:rPr>
          <w:rFonts w:ascii="Times New Roman" w:hAnsi="Times New Roman"/>
          <w:b/>
          <w:bCs/>
          <w:szCs w:val="22"/>
          <w:lang w:val="en-ID" w:eastAsia="en-GB"/>
        </w:rPr>
        <w:t xml:space="preserve"> 4.</w:t>
      </w:r>
      <w:r w:rsidRPr="00DF0BEE">
        <w:rPr>
          <w:rFonts w:ascii="Times New Roman" w:hAnsi="Times New Roman"/>
          <w:szCs w:val="22"/>
          <w:lang w:val="en-ID" w:eastAsia="en-GB"/>
        </w:rPr>
        <w:t xml:space="preserve">  </w:t>
      </w:r>
      <w:r w:rsidR="00A93BAE" w:rsidRPr="00DF0BEE">
        <w:rPr>
          <w:rFonts w:ascii="Times New Roman" w:hAnsi="Times New Roman"/>
          <w:szCs w:val="22"/>
          <w:lang w:val="en-ID" w:eastAsia="en-GB"/>
        </w:rPr>
        <w:t>Test of Homogeneity of Variance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1857"/>
        <w:gridCol w:w="1857"/>
        <w:gridCol w:w="1858"/>
        <w:gridCol w:w="1858"/>
      </w:tblGrid>
      <w:tr w:rsidR="00A93BAE" w:rsidRPr="00DF0BEE" w14:paraId="3B1DADF2" w14:textId="77777777" w:rsidTr="00A93BAE">
        <w:tc>
          <w:tcPr>
            <w:tcW w:w="1857" w:type="dxa"/>
            <w:tcBorders>
              <w:top w:val="single" w:sz="4" w:space="0" w:color="auto"/>
              <w:bottom w:val="single" w:sz="4" w:space="0" w:color="auto"/>
            </w:tcBorders>
          </w:tcPr>
          <w:p w14:paraId="0F8B0DC4" w14:textId="5BA0C2F0"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lastRenderedPageBreak/>
              <w:t>Variable</w:t>
            </w:r>
          </w:p>
        </w:tc>
        <w:tc>
          <w:tcPr>
            <w:tcW w:w="1857" w:type="dxa"/>
            <w:tcBorders>
              <w:top w:val="single" w:sz="4" w:space="0" w:color="auto"/>
              <w:bottom w:val="single" w:sz="4" w:space="0" w:color="auto"/>
            </w:tcBorders>
          </w:tcPr>
          <w:p w14:paraId="649BC947" w14:textId="776CB59F" w:rsidR="00A93BAE" w:rsidRPr="00DF0BEE" w:rsidRDefault="00A93BAE" w:rsidP="00A93BAE">
            <w:pPr>
              <w:autoSpaceDE w:val="0"/>
              <w:autoSpaceDN w:val="0"/>
              <w:adjustRightInd w:val="0"/>
              <w:jc w:val="center"/>
              <w:rPr>
                <w:rFonts w:ascii="Times New Roman" w:hAnsi="Times New Roman"/>
                <w:szCs w:val="22"/>
                <w:lang w:val="en-ID" w:eastAsia="en-GB"/>
              </w:rPr>
            </w:pPr>
            <w:proofErr w:type="spellStart"/>
            <w:r w:rsidRPr="00EB2734">
              <w:rPr>
                <w:rFonts w:ascii="Times New Roman" w:hAnsi="Times New Roman"/>
                <w:szCs w:val="22"/>
                <w:lang w:val="en-ID" w:eastAsia="en-GB"/>
              </w:rPr>
              <w:t>Levene</w:t>
            </w:r>
            <w:proofErr w:type="spellEnd"/>
            <w:r w:rsidRPr="00EB2734">
              <w:rPr>
                <w:rFonts w:ascii="Times New Roman" w:hAnsi="Times New Roman"/>
                <w:szCs w:val="22"/>
                <w:lang w:val="en-ID" w:eastAsia="en-GB"/>
              </w:rPr>
              <w:t xml:space="preserve"> Statistic</w:t>
            </w:r>
          </w:p>
        </w:tc>
        <w:tc>
          <w:tcPr>
            <w:tcW w:w="1857" w:type="dxa"/>
            <w:tcBorders>
              <w:top w:val="single" w:sz="4" w:space="0" w:color="auto"/>
              <w:bottom w:val="single" w:sz="4" w:space="0" w:color="auto"/>
            </w:tcBorders>
          </w:tcPr>
          <w:p w14:paraId="4785A805" w14:textId="62C9534D"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df1</w:t>
            </w:r>
          </w:p>
        </w:tc>
        <w:tc>
          <w:tcPr>
            <w:tcW w:w="1858" w:type="dxa"/>
            <w:tcBorders>
              <w:top w:val="single" w:sz="4" w:space="0" w:color="auto"/>
              <w:bottom w:val="single" w:sz="4" w:space="0" w:color="auto"/>
            </w:tcBorders>
          </w:tcPr>
          <w:p w14:paraId="6D8BB1FD" w14:textId="24A14938"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df2</w:t>
            </w:r>
          </w:p>
        </w:tc>
        <w:tc>
          <w:tcPr>
            <w:tcW w:w="1858" w:type="dxa"/>
            <w:tcBorders>
              <w:top w:val="single" w:sz="4" w:space="0" w:color="auto"/>
              <w:bottom w:val="single" w:sz="4" w:space="0" w:color="auto"/>
            </w:tcBorders>
          </w:tcPr>
          <w:p w14:paraId="23381F83" w14:textId="0AB9F77E"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Sig.</w:t>
            </w:r>
          </w:p>
        </w:tc>
      </w:tr>
      <w:tr w:rsidR="00A93BAE" w:rsidRPr="00DF0BEE" w14:paraId="71113AD2" w14:textId="77777777" w:rsidTr="00A93BAE">
        <w:tc>
          <w:tcPr>
            <w:tcW w:w="1857" w:type="dxa"/>
            <w:tcBorders>
              <w:top w:val="single" w:sz="4" w:space="0" w:color="auto"/>
            </w:tcBorders>
          </w:tcPr>
          <w:p w14:paraId="7CA6F015" w14:textId="481881D2"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SMU</w:t>
            </w:r>
          </w:p>
        </w:tc>
        <w:tc>
          <w:tcPr>
            <w:tcW w:w="1857" w:type="dxa"/>
            <w:tcBorders>
              <w:top w:val="single" w:sz="4" w:space="0" w:color="auto"/>
            </w:tcBorders>
          </w:tcPr>
          <w:p w14:paraId="2B55474C" w14:textId="755F4078"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.519</w:t>
            </w:r>
          </w:p>
        </w:tc>
        <w:tc>
          <w:tcPr>
            <w:tcW w:w="1857" w:type="dxa"/>
            <w:tcBorders>
              <w:top w:val="single" w:sz="4" w:space="0" w:color="auto"/>
            </w:tcBorders>
          </w:tcPr>
          <w:p w14:paraId="019CF738" w14:textId="67857313"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1</w:t>
            </w:r>
          </w:p>
        </w:tc>
        <w:tc>
          <w:tcPr>
            <w:tcW w:w="1858" w:type="dxa"/>
            <w:tcBorders>
              <w:top w:val="single" w:sz="4" w:space="0" w:color="auto"/>
            </w:tcBorders>
          </w:tcPr>
          <w:p w14:paraId="7DC4D331" w14:textId="62CB7398"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46</w:t>
            </w:r>
          </w:p>
        </w:tc>
        <w:tc>
          <w:tcPr>
            <w:tcW w:w="1858" w:type="dxa"/>
            <w:tcBorders>
              <w:top w:val="single" w:sz="4" w:space="0" w:color="auto"/>
            </w:tcBorders>
          </w:tcPr>
          <w:p w14:paraId="02E6F352" w14:textId="65FB50FF" w:rsidR="00A93BAE" w:rsidRPr="00DF0BEE" w:rsidRDefault="00A93BAE" w:rsidP="00A93BAE">
            <w:pPr>
              <w:autoSpaceDE w:val="0"/>
              <w:autoSpaceDN w:val="0"/>
              <w:adjustRightInd w:val="0"/>
              <w:jc w:val="center"/>
              <w:rPr>
                <w:rFonts w:ascii="Times New Roman" w:hAnsi="Times New Roman"/>
                <w:szCs w:val="22"/>
                <w:lang w:val="en-ID" w:eastAsia="en-GB"/>
              </w:rPr>
            </w:pPr>
            <w:r w:rsidRPr="00DF0BEE">
              <w:rPr>
                <w:rFonts w:ascii="Times New Roman" w:hAnsi="Times New Roman"/>
                <w:szCs w:val="22"/>
                <w:lang w:val="en-ID" w:eastAsia="en-GB"/>
              </w:rPr>
              <w:t>.475</w:t>
            </w:r>
          </w:p>
        </w:tc>
      </w:tr>
    </w:tbl>
    <w:p w14:paraId="69981B1A" w14:textId="77777777" w:rsidR="00EB2734" w:rsidRPr="00EB2734" w:rsidRDefault="00EB2734" w:rsidP="00EB2734">
      <w:pPr>
        <w:autoSpaceDE w:val="0"/>
        <w:autoSpaceDN w:val="0"/>
        <w:adjustRightInd w:val="0"/>
        <w:rPr>
          <w:rFonts w:ascii="Times New Roman" w:hAnsi="Times New Roman"/>
          <w:szCs w:val="22"/>
          <w:lang w:val="en-ID" w:eastAsia="en-GB"/>
        </w:rPr>
      </w:pPr>
    </w:p>
    <w:p w14:paraId="4F761C37" w14:textId="67B009CE" w:rsidR="00EB2734" w:rsidRPr="00EB2734" w:rsidRDefault="00435BEB" w:rsidP="00435BEB">
      <w:pPr>
        <w:pStyle w:val="BodytextIndented"/>
        <w:rPr>
          <w:rFonts w:ascii="TimesNewRomanPSMT" w:hAnsi="TimesNewRomanPSMT"/>
          <w:iCs w:val="0"/>
          <w:lang w:val="en-GB"/>
        </w:rPr>
      </w:pPr>
      <w:r w:rsidRPr="00435BEB">
        <w:rPr>
          <w:rFonts w:ascii="TimesNewRomanPSMT" w:hAnsi="TimesNewRomanPSMT"/>
          <w:iCs w:val="0"/>
          <w:lang w:val="en-GB"/>
        </w:rPr>
        <w:t xml:space="preserve">As the data presented in Table </w:t>
      </w:r>
      <w:r>
        <w:rPr>
          <w:rFonts w:ascii="TimesNewRomanPSMT" w:hAnsi="TimesNewRomanPSMT"/>
          <w:iCs w:val="0"/>
          <w:lang w:val="en-GB"/>
        </w:rPr>
        <w:t>4</w:t>
      </w:r>
      <w:r w:rsidRPr="00435BEB">
        <w:rPr>
          <w:rFonts w:ascii="TimesNewRomanPSMT" w:hAnsi="TimesNewRomanPSMT"/>
          <w:iCs w:val="0"/>
          <w:lang w:val="en-GB"/>
        </w:rPr>
        <w:t xml:space="preserve">, the </w:t>
      </w:r>
      <w:r>
        <w:rPr>
          <w:rFonts w:ascii="TimesNewRomanPSMT" w:hAnsi="TimesNewRomanPSMT"/>
          <w:iCs w:val="0"/>
          <w:lang w:val="en-GB"/>
        </w:rPr>
        <w:t>post-test</w:t>
      </w:r>
      <w:r w:rsidRPr="00435BEB">
        <w:rPr>
          <w:rFonts w:ascii="TimesNewRomanPSMT" w:hAnsi="TimesNewRomanPSMT"/>
          <w:iCs w:val="0"/>
          <w:lang w:val="en-GB"/>
        </w:rPr>
        <w:t xml:space="preserve"> score of SMU shows (P = 0.</w:t>
      </w:r>
      <w:r>
        <w:rPr>
          <w:rFonts w:ascii="TimesNewRomanPSMT" w:hAnsi="TimesNewRomanPSMT"/>
          <w:iCs w:val="0"/>
          <w:lang w:val="en-GB"/>
        </w:rPr>
        <w:t>475</w:t>
      </w:r>
      <w:r w:rsidRPr="00435BEB">
        <w:rPr>
          <w:rFonts w:ascii="TimesNewRomanPSMT" w:hAnsi="TimesNewRomanPSMT"/>
          <w:iCs w:val="0"/>
          <w:lang w:val="en-GB"/>
        </w:rPr>
        <w:t>, &gt; 0.05</w:t>
      </w:r>
      <w:r>
        <w:rPr>
          <w:rFonts w:ascii="TimesNewRomanPSMT" w:hAnsi="TimesNewRomanPSMT"/>
          <w:iCs w:val="0"/>
          <w:lang w:val="en-GB"/>
        </w:rPr>
        <w:t>)</w:t>
      </w:r>
      <w:r w:rsidRPr="00435BEB">
        <w:rPr>
          <w:rFonts w:ascii="TimesNewRomanPSMT" w:hAnsi="TimesNewRomanPSMT"/>
          <w:iCs w:val="0"/>
          <w:lang w:val="en-GB"/>
        </w:rPr>
        <w:t>. Therefore, the result of the homogeneity test</w:t>
      </w:r>
      <w:r>
        <w:rPr>
          <w:rFonts w:ascii="TimesNewRomanPSMT" w:hAnsi="TimesNewRomanPSMT"/>
          <w:iCs w:val="0"/>
          <w:lang w:val="en-GB"/>
        </w:rPr>
        <w:t xml:space="preserve"> </w:t>
      </w:r>
      <w:r w:rsidRPr="00435BEB">
        <w:rPr>
          <w:rFonts w:ascii="TimesNewRomanPSMT" w:hAnsi="TimesNewRomanPSMT"/>
          <w:iCs w:val="0"/>
          <w:lang w:val="en-GB"/>
        </w:rPr>
        <w:t xml:space="preserve">presented in Table </w:t>
      </w:r>
      <w:r>
        <w:rPr>
          <w:rFonts w:ascii="TimesNewRomanPSMT" w:hAnsi="TimesNewRomanPSMT"/>
          <w:iCs w:val="0"/>
          <w:lang w:val="en-GB"/>
        </w:rPr>
        <w:t>4</w:t>
      </w:r>
      <w:r w:rsidRPr="00435BEB">
        <w:rPr>
          <w:rFonts w:ascii="TimesNewRomanPSMT" w:hAnsi="TimesNewRomanPSMT"/>
          <w:iCs w:val="0"/>
          <w:lang w:val="en-GB"/>
        </w:rPr>
        <w:t xml:space="preserve"> indicates that both the </w:t>
      </w:r>
      <w:r>
        <w:rPr>
          <w:rFonts w:ascii="TimesNewRomanPSMT" w:hAnsi="TimesNewRomanPSMT"/>
          <w:iCs w:val="0"/>
          <w:lang w:val="en-GB"/>
        </w:rPr>
        <w:t xml:space="preserve">post-test </w:t>
      </w:r>
      <w:r w:rsidRPr="00435BEB">
        <w:rPr>
          <w:rFonts w:ascii="TimesNewRomanPSMT" w:hAnsi="TimesNewRomanPSMT"/>
          <w:iCs w:val="0"/>
          <w:lang w:val="en-GB"/>
        </w:rPr>
        <w:t>score of SMU is homogeny. Following</w:t>
      </w:r>
      <w:r>
        <w:rPr>
          <w:rFonts w:ascii="TimesNewRomanPSMT" w:hAnsi="TimesNewRomanPSMT"/>
          <w:iCs w:val="0"/>
          <w:lang w:val="en-GB"/>
        </w:rPr>
        <w:t xml:space="preserve"> </w:t>
      </w:r>
      <w:r w:rsidRPr="00435BEB">
        <w:rPr>
          <w:rFonts w:ascii="TimesNewRomanPSMT" w:hAnsi="TimesNewRomanPSMT"/>
          <w:iCs w:val="0"/>
          <w:lang w:val="en-GB"/>
        </w:rPr>
        <w:t>this result</w:t>
      </w:r>
      <w:r>
        <w:rPr>
          <w:rFonts w:ascii="TimesNewRomanPSMT" w:hAnsi="TimesNewRomanPSMT"/>
          <w:iCs w:val="0"/>
          <w:lang w:val="en-GB"/>
        </w:rPr>
        <w:t xml:space="preserve"> of</w:t>
      </w:r>
      <w:r w:rsidRPr="00435BEB">
        <w:rPr>
          <w:rFonts w:ascii="TimesNewRomanPSMT" w:hAnsi="TimesNewRomanPSMT"/>
          <w:iCs w:val="0"/>
          <w:lang w:val="en-GB"/>
        </w:rPr>
        <w:t xml:space="preserve"> the </w:t>
      </w:r>
      <w:r w:rsidR="00843D23">
        <w:rPr>
          <w:rFonts w:ascii="TimesNewRomanPSMT" w:hAnsi="TimesNewRomanPSMT"/>
          <w:iCs w:val="0"/>
          <w:lang w:val="en-GB"/>
        </w:rPr>
        <w:t xml:space="preserve">normality and homogeneity test, then the </w:t>
      </w:r>
      <w:r w:rsidRPr="00435BEB">
        <w:rPr>
          <w:rFonts w:ascii="TimesNewRomanPSMT" w:hAnsi="TimesNewRomanPSMT"/>
          <w:iCs w:val="0"/>
          <w:lang w:val="en-GB"/>
        </w:rPr>
        <w:t xml:space="preserve">hypothetical test </w:t>
      </w:r>
      <w:r w:rsidR="00843D23">
        <w:rPr>
          <w:rFonts w:ascii="TimesNewRomanPSMT" w:hAnsi="TimesNewRomanPSMT"/>
          <w:iCs w:val="0"/>
          <w:lang w:val="en-GB"/>
        </w:rPr>
        <w:t xml:space="preserve">was </w:t>
      </w:r>
      <w:r w:rsidRPr="00435BEB">
        <w:rPr>
          <w:rFonts w:ascii="TimesNewRomanPSMT" w:hAnsi="TimesNewRomanPSMT"/>
          <w:iCs w:val="0"/>
          <w:lang w:val="en-GB"/>
        </w:rPr>
        <w:t xml:space="preserve">conducted through </w:t>
      </w:r>
      <w:r w:rsidR="00843D23">
        <w:rPr>
          <w:rFonts w:ascii="TimesNewRomanPSMT" w:hAnsi="TimesNewRomanPSMT"/>
          <w:iCs w:val="0"/>
          <w:lang w:val="en-GB"/>
        </w:rPr>
        <w:t xml:space="preserve">a </w:t>
      </w:r>
      <w:r w:rsidRPr="00435BEB">
        <w:rPr>
          <w:rFonts w:ascii="TimesNewRomanPSMT" w:hAnsi="TimesNewRomanPSMT"/>
          <w:iCs w:val="0"/>
          <w:lang w:val="en-GB"/>
        </w:rPr>
        <w:t xml:space="preserve">parametric test using the </w:t>
      </w:r>
      <w:r w:rsidR="00843D23">
        <w:rPr>
          <w:rFonts w:ascii="TimesNewRomanPSMT" w:hAnsi="TimesNewRomanPSMT"/>
          <w:i/>
          <w:lang w:val="en-GB"/>
        </w:rPr>
        <w:t>Independent sample t-test</w:t>
      </w:r>
      <w:r w:rsidRPr="00435BEB">
        <w:rPr>
          <w:rFonts w:ascii="TimesNewRomanPSMT" w:hAnsi="TimesNewRomanPSMT"/>
          <w:iCs w:val="0"/>
          <w:lang w:val="en-GB"/>
        </w:rPr>
        <w:t>.</w:t>
      </w:r>
    </w:p>
    <w:p w14:paraId="08EE0654" w14:textId="17197292" w:rsidR="009D53B7" w:rsidRPr="00DF0BEE" w:rsidRDefault="00450111" w:rsidP="009D53B7">
      <w:pPr>
        <w:pStyle w:val="Subsection"/>
        <w:rPr>
          <w:rFonts w:ascii="Times New Roman" w:hAnsi="Times New Roman"/>
        </w:rPr>
      </w:pPr>
      <w:r w:rsidRPr="00DF0BEE">
        <w:rPr>
          <w:rFonts w:ascii="Times New Roman" w:hAnsi="Times New Roman"/>
        </w:rPr>
        <w:t>Independent Sample T-Test</w:t>
      </w:r>
    </w:p>
    <w:p w14:paraId="464CF812" w14:textId="4D1157FC" w:rsidR="00450111" w:rsidRPr="00DF0BEE" w:rsidRDefault="00E526F6" w:rsidP="00450111">
      <w:pPr>
        <w:pStyle w:val="Bodytext"/>
        <w:rPr>
          <w:rFonts w:ascii="Times New Roman" w:hAnsi="Times New Roman"/>
          <w:lang w:val="en-GB"/>
        </w:rPr>
      </w:pPr>
      <w:r w:rsidRPr="00DF0BEE">
        <w:rPr>
          <w:rFonts w:ascii="Times New Roman" w:hAnsi="Times New Roman"/>
          <w:lang w:val="en-GB"/>
        </w:rPr>
        <w:t xml:space="preserve">The hypothesis test was conducted through an independent sample t-test using. The use of independent sample t-test in hypothesis testing was underlined by the normality and homogeneity test of the post-test score of </w:t>
      </w:r>
      <w:r w:rsidR="00EB2734" w:rsidRPr="00DF0BEE">
        <w:rPr>
          <w:rFonts w:ascii="Times New Roman" w:hAnsi="Times New Roman"/>
          <w:lang w:val="en-GB"/>
        </w:rPr>
        <w:t>students’</w:t>
      </w:r>
      <w:r w:rsidRPr="00DF0BEE">
        <w:rPr>
          <w:rFonts w:ascii="Times New Roman" w:hAnsi="Times New Roman"/>
          <w:lang w:val="en-GB"/>
        </w:rPr>
        <w:t xml:space="preserve"> fraction</w:t>
      </w:r>
      <w:r w:rsidR="00EB2734" w:rsidRPr="00DF0BEE">
        <w:rPr>
          <w:rFonts w:ascii="Times New Roman" w:hAnsi="Times New Roman"/>
          <w:lang w:val="en-GB"/>
        </w:rPr>
        <w:t>s</w:t>
      </w:r>
      <w:r w:rsidRPr="00DF0BEE">
        <w:rPr>
          <w:rFonts w:ascii="Times New Roman" w:hAnsi="Times New Roman"/>
          <w:lang w:val="en-GB"/>
        </w:rPr>
        <w:t xml:space="preserve"> understanding. </w:t>
      </w:r>
      <w:r w:rsidR="00EB2734" w:rsidRPr="00DF0BEE">
        <w:rPr>
          <w:rFonts w:ascii="Times New Roman" w:hAnsi="Times New Roman"/>
          <w:lang w:val="en-GB"/>
        </w:rPr>
        <w:t xml:space="preserve">The result of the test are presented in </w:t>
      </w:r>
      <w:proofErr w:type="spellStart"/>
      <w:r w:rsidR="00EB2734" w:rsidRPr="00DF0BEE">
        <w:rPr>
          <w:rFonts w:ascii="Times New Roman" w:hAnsi="Times New Roman"/>
          <w:lang w:val="en-GB"/>
        </w:rPr>
        <w:t>Tabel</w:t>
      </w:r>
      <w:proofErr w:type="spellEnd"/>
      <w:r w:rsidR="00EB2734" w:rsidRPr="00DF0BEE">
        <w:rPr>
          <w:rFonts w:ascii="Times New Roman" w:hAnsi="Times New Roman"/>
          <w:lang w:val="en-GB"/>
        </w:rPr>
        <w:t xml:space="preserve"> 4.</w:t>
      </w:r>
    </w:p>
    <w:p w14:paraId="598EA8E5" w14:textId="4C2FD17B" w:rsidR="00E526F6" w:rsidRPr="00DF0BEE" w:rsidRDefault="00E526F6" w:rsidP="00E526F6">
      <w:pPr>
        <w:pStyle w:val="BodytextIndented"/>
        <w:jc w:val="center"/>
        <w:rPr>
          <w:rFonts w:ascii="Times New Roman" w:hAnsi="Times New Roman"/>
          <w:lang w:val="en-GB"/>
        </w:rPr>
      </w:pPr>
      <w:proofErr w:type="spellStart"/>
      <w:r w:rsidRPr="00DF0BEE">
        <w:rPr>
          <w:rFonts w:ascii="Times New Roman" w:hAnsi="Times New Roman"/>
          <w:b/>
          <w:bCs/>
          <w:lang w:val="en-GB"/>
        </w:rPr>
        <w:t>Tabel</w:t>
      </w:r>
      <w:proofErr w:type="spellEnd"/>
      <w:r w:rsidRPr="00DF0BEE">
        <w:rPr>
          <w:rFonts w:ascii="Times New Roman" w:hAnsi="Times New Roman"/>
          <w:b/>
          <w:bCs/>
          <w:lang w:val="en-GB"/>
        </w:rPr>
        <w:t xml:space="preserve"> </w:t>
      </w:r>
      <w:r w:rsidR="00EB2734" w:rsidRPr="00DF0BEE">
        <w:rPr>
          <w:rFonts w:ascii="Times New Roman" w:hAnsi="Times New Roman"/>
          <w:b/>
          <w:bCs/>
          <w:lang w:val="en-GB"/>
        </w:rPr>
        <w:t>4</w:t>
      </w:r>
      <w:r w:rsidRPr="00DF0BEE">
        <w:rPr>
          <w:rFonts w:ascii="Times New Roman" w:hAnsi="Times New Roman"/>
          <w:b/>
          <w:bCs/>
          <w:lang w:val="en-GB"/>
        </w:rPr>
        <w:t>.</w:t>
      </w:r>
      <w:r w:rsidRPr="00DF0BEE">
        <w:rPr>
          <w:rFonts w:ascii="Times New Roman" w:hAnsi="Times New Roman"/>
          <w:lang w:val="en-GB"/>
        </w:rPr>
        <w:t xml:space="preserve"> Independent Sample T-Test of Post-Test Score</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7"/>
        <w:gridCol w:w="1548"/>
        <w:gridCol w:w="1548"/>
        <w:gridCol w:w="1548"/>
        <w:gridCol w:w="1548"/>
        <w:gridCol w:w="1548"/>
      </w:tblGrid>
      <w:tr w:rsidR="00153665" w:rsidRPr="00DF0BEE" w14:paraId="38CCA8C7" w14:textId="77777777" w:rsidTr="00153665">
        <w:tc>
          <w:tcPr>
            <w:tcW w:w="1547" w:type="dxa"/>
            <w:vMerge w:val="restart"/>
            <w:tcBorders>
              <w:top w:val="single" w:sz="4" w:space="0" w:color="auto"/>
              <w:bottom w:val="single" w:sz="4" w:space="0" w:color="auto"/>
            </w:tcBorders>
            <w:vAlign w:val="center"/>
          </w:tcPr>
          <w:p w14:paraId="78CA4ABF" w14:textId="50C878E1"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 xml:space="preserve">Variable </w:t>
            </w:r>
          </w:p>
        </w:tc>
        <w:tc>
          <w:tcPr>
            <w:tcW w:w="7740" w:type="dxa"/>
            <w:gridSpan w:val="5"/>
            <w:tcBorders>
              <w:bottom w:val="nil"/>
            </w:tcBorders>
            <w:vAlign w:val="center"/>
          </w:tcPr>
          <w:p w14:paraId="25EE0F46" w14:textId="44C686AD" w:rsidR="00153665" w:rsidRPr="00DF0BEE" w:rsidRDefault="00153665" w:rsidP="00E526F6">
            <w:pPr>
              <w:pStyle w:val="BodytextIndented"/>
              <w:ind w:firstLine="0"/>
              <w:jc w:val="center"/>
              <w:rPr>
                <w:rFonts w:ascii="Times New Roman" w:hAnsi="Times New Roman"/>
                <w:lang w:val="en-GB"/>
              </w:rPr>
            </w:pPr>
            <w:proofErr w:type="spellStart"/>
            <w:r w:rsidRPr="00DF0BEE">
              <w:rPr>
                <w:rFonts w:ascii="Times New Roman" w:hAnsi="Times New Roman"/>
                <w:lang w:val="en-GB"/>
              </w:rPr>
              <w:t>Levene’s</w:t>
            </w:r>
            <w:proofErr w:type="spellEnd"/>
            <w:r w:rsidRPr="00DF0BEE">
              <w:rPr>
                <w:rFonts w:ascii="Times New Roman" w:hAnsi="Times New Roman"/>
                <w:lang w:val="en-GB"/>
              </w:rPr>
              <w:t xml:space="preserve"> Test for Equality of Variance</w:t>
            </w:r>
          </w:p>
        </w:tc>
      </w:tr>
      <w:tr w:rsidR="00153665" w:rsidRPr="00DF0BEE" w14:paraId="54491F96" w14:textId="77777777" w:rsidTr="00153665">
        <w:tc>
          <w:tcPr>
            <w:tcW w:w="1547" w:type="dxa"/>
            <w:vMerge/>
            <w:tcBorders>
              <w:top w:val="nil"/>
              <w:bottom w:val="single" w:sz="4" w:space="0" w:color="auto"/>
            </w:tcBorders>
            <w:vAlign w:val="center"/>
          </w:tcPr>
          <w:p w14:paraId="1E73A48D" w14:textId="77777777" w:rsidR="00153665" w:rsidRPr="00DF0BEE" w:rsidRDefault="00153665" w:rsidP="00E526F6">
            <w:pPr>
              <w:pStyle w:val="BodytextIndented"/>
              <w:ind w:firstLine="0"/>
              <w:jc w:val="center"/>
              <w:rPr>
                <w:rFonts w:ascii="Times New Roman" w:hAnsi="Times New Roman"/>
                <w:lang w:val="en-GB"/>
              </w:rPr>
            </w:pPr>
          </w:p>
        </w:tc>
        <w:tc>
          <w:tcPr>
            <w:tcW w:w="1548" w:type="dxa"/>
            <w:tcBorders>
              <w:top w:val="nil"/>
              <w:bottom w:val="single" w:sz="4" w:space="0" w:color="auto"/>
            </w:tcBorders>
            <w:vAlign w:val="center"/>
          </w:tcPr>
          <w:p w14:paraId="557C68EC" w14:textId="59DB2513"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F</w:t>
            </w:r>
          </w:p>
        </w:tc>
        <w:tc>
          <w:tcPr>
            <w:tcW w:w="1548" w:type="dxa"/>
            <w:tcBorders>
              <w:top w:val="nil"/>
              <w:bottom w:val="single" w:sz="4" w:space="0" w:color="auto"/>
            </w:tcBorders>
            <w:vAlign w:val="center"/>
          </w:tcPr>
          <w:p w14:paraId="20D20C50" w14:textId="5077B7D8"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Sig.</w:t>
            </w:r>
          </w:p>
        </w:tc>
        <w:tc>
          <w:tcPr>
            <w:tcW w:w="1548" w:type="dxa"/>
            <w:tcBorders>
              <w:top w:val="nil"/>
              <w:bottom w:val="single" w:sz="4" w:space="0" w:color="auto"/>
            </w:tcBorders>
            <w:vAlign w:val="center"/>
          </w:tcPr>
          <w:p w14:paraId="352F2617" w14:textId="1BD4BDF3"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t</w:t>
            </w:r>
          </w:p>
        </w:tc>
        <w:tc>
          <w:tcPr>
            <w:tcW w:w="1548" w:type="dxa"/>
            <w:tcBorders>
              <w:top w:val="nil"/>
              <w:bottom w:val="single" w:sz="4" w:space="0" w:color="auto"/>
            </w:tcBorders>
            <w:vAlign w:val="center"/>
          </w:tcPr>
          <w:p w14:paraId="6CD50FB4" w14:textId="36366560"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df</w:t>
            </w:r>
          </w:p>
        </w:tc>
        <w:tc>
          <w:tcPr>
            <w:tcW w:w="1548" w:type="dxa"/>
            <w:tcBorders>
              <w:top w:val="nil"/>
              <w:bottom w:val="single" w:sz="4" w:space="0" w:color="auto"/>
            </w:tcBorders>
            <w:vAlign w:val="center"/>
          </w:tcPr>
          <w:p w14:paraId="44C853F1" w14:textId="41F2848C"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Sig. (2-tailed)</w:t>
            </w:r>
          </w:p>
        </w:tc>
      </w:tr>
      <w:tr w:rsidR="00153665" w:rsidRPr="00DF0BEE" w14:paraId="5A24E5B1" w14:textId="77777777" w:rsidTr="00153665">
        <w:tc>
          <w:tcPr>
            <w:tcW w:w="1547" w:type="dxa"/>
            <w:tcBorders>
              <w:top w:val="single" w:sz="4" w:space="0" w:color="auto"/>
            </w:tcBorders>
            <w:vAlign w:val="center"/>
          </w:tcPr>
          <w:p w14:paraId="5D637127" w14:textId="77777777"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Post-Test</w:t>
            </w:r>
          </w:p>
          <w:p w14:paraId="52BD7085" w14:textId="73BD02D8"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SMU</w:t>
            </w:r>
          </w:p>
        </w:tc>
        <w:tc>
          <w:tcPr>
            <w:tcW w:w="1548" w:type="dxa"/>
            <w:tcBorders>
              <w:top w:val="single" w:sz="4" w:space="0" w:color="auto"/>
            </w:tcBorders>
            <w:vAlign w:val="center"/>
          </w:tcPr>
          <w:p w14:paraId="4892924E" w14:textId="1A3338A1"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.519</w:t>
            </w:r>
          </w:p>
        </w:tc>
        <w:tc>
          <w:tcPr>
            <w:tcW w:w="1548" w:type="dxa"/>
            <w:tcBorders>
              <w:top w:val="single" w:sz="4" w:space="0" w:color="auto"/>
            </w:tcBorders>
            <w:vAlign w:val="center"/>
          </w:tcPr>
          <w:p w14:paraId="3A03A8B5" w14:textId="33A4828F"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.475</w:t>
            </w:r>
          </w:p>
        </w:tc>
        <w:tc>
          <w:tcPr>
            <w:tcW w:w="1548" w:type="dxa"/>
            <w:tcBorders>
              <w:top w:val="single" w:sz="4" w:space="0" w:color="auto"/>
            </w:tcBorders>
            <w:vAlign w:val="center"/>
          </w:tcPr>
          <w:p w14:paraId="396BF096" w14:textId="4AEDCF34"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-2.633</w:t>
            </w:r>
          </w:p>
        </w:tc>
        <w:tc>
          <w:tcPr>
            <w:tcW w:w="1548" w:type="dxa"/>
            <w:tcBorders>
              <w:top w:val="single" w:sz="4" w:space="0" w:color="auto"/>
            </w:tcBorders>
            <w:vAlign w:val="center"/>
          </w:tcPr>
          <w:p w14:paraId="7CF9733F" w14:textId="5C1A551E"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46</w:t>
            </w:r>
          </w:p>
        </w:tc>
        <w:tc>
          <w:tcPr>
            <w:tcW w:w="1548" w:type="dxa"/>
            <w:tcBorders>
              <w:top w:val="single" w:sz="4" w:space="0" w:color="auto"/>
            </w:tcBorders>
            <w:vAlign w:val="center"/>
          </w:tcPr>
          <w:p w14:paraId="08C7200A" w14:textId="1A0897CC" w:rsidR="00153665" w:rsidRPr="00DF0BEE" w:rsidRDefault="00153665" w:rsidP="00E526F6">
            <w:pPr>
              <w:pStyle w:val="BodytextIndented"/>
              <w:ind w:firstLine="0"/>
              <w:jc w:val="center"/>
              <w:rPr>
                <w:rFonts w:ascii="Times New Roman" w:hAnsi="Times New Roman"/>
                <w:lang w:val="en-GB"/>
              </w:rPr>
            </w:pPr>
            <w:r w:rsidRPr="00DF0BEE">
              <w:rPr>
                <w:rFonts w:ascii="Times New Roman" w:hAnsi="Times New Roman"/>
                <w:lang w:val="en-GB"/>
              </w:rPr>
              <w:t>.011</w:t>
            </w:r>
          </w:p>
        </w:tc>
      </w:tr>
    </w:tbl>
    <w:p w14:paraId="618436B8" w14:textId="77777777" w:rsidR="00153665" w:rsidRPr="00DF0BEE" w:rsidRDefault="00153665" w:rsidP="00E526F6">
      <w:pPr>
        <w:pStyle w:val="BodytextIndented"/>
        <w:jc w:val="center"/>
        <w:rPr>
          <w:rFonts w:ascii="Times New Roman" w:hAnsi="Times New Roman"/>
          <w:lang w:val="en-GB"/>
        </w:rPr>
      </w:pPr>
    </w:p>
    <w:p w14:paraId="71FD9AD2" w14:textId="1A8317DD" w:rsidR="00450111" w:rsidRPr="00DF0BEE" w:rsidRDefault="00D0065D" w:rsidP="009F3761">
      <w:pPr>
        <w:pStyle w:val="BodytextIndented"/>
        <w:rPr>
          <w:rFonts w:ascii="Times New Roman" w:hAnsi="Times New Roman"/>
          <w:lang w:val="en-GB"/>
        </w:rPr>
      </w:pPr>
      <w:r>
        <w:rPr>
          <w:rFonts w:ascii="Times New Roman" w:hAnsi="Times New Roman"/>
          <w:lang w:val="en-GB"/>
        </w:rPr>
        <w:t xml:space="preserve">According to the data presented in Table 4, the result of the </w:t>
      </w:r>
      <w:r w:rsidRPr="00D73D59">
        <w:rPr>
          <w:rFonts w:ascii="Times New Roman" w:hAnsi="Times New Roman"/>
          <w:i/>
          <w:iCs w:val="0"/>
          <w:lang w:val="en-GB"/>
        </w:rPr>
        <w:t>independent sample t-test</w:t>
      </w:r>
      <w:r>
        <w:rPr>
          <w:rFonts w:ascii="Times New Roman" w:hAnsi="Times New Roman"/>
          <w:lang w:val="en-GB"/>
        </w:rPr>
        <w:t xml:space="preserve"> shows that</w:t>
      </w:r>
      <w:r w:rsidR="009F3761">
        <w:rPr>
          <w:rFonts w:ascii="Times New Roman" w:hAnsi="Times New Roman"/>
          <w:lang w:val="en-GB"/>
        </w:rPr>
        <w:t xml:space="preserve"> </w:t>
      </w:r>
      <w:r w:rsidR="00D73D59">
        <w:rPr>
          <w:rFonts w:ascii="Times New Roman" w:hAnsi="Times New Roman"/>
          <w:lang w:val="en-GB"/>
        </w:rPr>
        <w:t>(</w:t>
      </w:r>
      <w:r w:rsidR="009F3761">
        <w:rPr>
          <w:rFonts w:ascii="Times New Roman" w:hAnsi="Times New Roman"/>
          <w:lang w:val="en-GB"/>
        </w:rPr>
        <w:t>t</w:t>
      </w:r>
      <w:r w:rsidR="00D73D59">
        <w:rPr>
          <w:rFonts w:ascii="Times New Roman" w:hAnsi="Times New Roman"/>
          <w:lang w:val="en-GB"/>
        </w:rPr>
        <w:t xml:space="preserve">(48)= -2.63, P &lt; 0.05). </w:t>
      </w:r>
      <w:r w:rsidR="009F3761">
        <w:rPr>
          <w:rFonts w:ascii="Times New Roman" w:hAnsi="Times New Roman"/>
          <w:lang w:val="en-GB"/>
        </w:rPr>
        <w:t xml:space="preserve">Therefore, </w:t>
      </w:r>
      <w:r w:rsidR="009F3761">
        <w:rPr>
          <w:rFonts w:ascii="Times New Roman" w:hAnsi="Times New Roman"/>
        </w:rPr>
        <w:t xml:space="preserve">it </w:t>
      </w:r>
      <w:r w:rsidR="009F3761" w:rsidRPr="00DF0BEE">
        <w:rPr>
          <w:rFonts w:ascii="Times New Roman" w:hAnsi="Times New Roman"/>
        </w:rPr>
        <w:t xml:space="preserve">proves that </w:t>
      </w:r>
      <w:proofErr w:type="spellStart"/>
      <w:r w:rsidR="009F3761" w:rsidRPr="00DF0BEE">
        <w:rPr>
          <w:rFonts w:ascii="Times New Roman" w:hAnsi="Times New Roman"/>
        </w:rPr>
        <w:t>PhET</w:t>
      </w:r>
      <w:proofErr w:type="spellEnd"/>
      <w:r w:rsidR="009F3761" w:rsidRPr="00DF0BEE">
        <w:rPr>
          <w:rFonts w:ascii="Times New Roman" w:hAnsi="Times New Roman"/>
        </w:rPr>
        <w:t xml:space="preserve"> Interactive Simulation was significantly improved students' mathematical understanding of Fractions.</w:t>
      </w:r>
    </w:p>
    <w:p w14:paraId="6503D152" w14:textId="32373395" w:rsidR="009D53B7" w:rsidRDefault="009D53B7" w:rsidP="009D53B7">
      <w:pPr>
        <w:pStyle w:val="Section"/>
        <w:rPr>
          <w:rFonts w:ascii="Times New Roman" w:hAnsi="Times New Roman"/>
        </w:rPr>
      </w:pPr>
      <w:r w:rsidRPr="00DF0BEE">
        <w:rPr>
          <w:rFonts w:ascii="Times New Roman" w:hAnsi="Times New Roman"/>
        </w:rPr>
        <w:t xml:space="preserve">Discussion </w:t>
      </w:r>
    </w:p>
    <w:p w14:paraId="51462EBE" w14:textId="533C097F" w:rsidR="007E1840" w:rsidRDefault="00C95346" w:rsidP="009F3761">
      <w:pPr>
        <w:pStyle w:val="Bodytext"/>
        <w:rPr>
          <w:lang w:val="en-GB"/>
        </w:rPr>
      </w:pPr>
      <w:r>
        <w:rPr>
          <w:lang w:val="en-GB"/>
        </w:rPr>
        <w:t xml:space="preserve">Mathematics teaching and learning in the pandemic period was challenging for the teachers to support students’ understanding of mathematics concepts. </w:t>
      </w:r>
      <w:r w:rsidR="007E1840">
        <w:rPr>
          <w:lang w:val="en-GB"/>
        </w:rPr>
        <w:t xml:space="preserve">Therefore, the use of digital technology have an important role to support teaching and learning practice in school. </w:t>
      </w:r>
      <w:r w:rsidR="007E1840" w:rsidRPr="007E1840">
        <w:rPr>
          <w:lang w:val="en-GB"/>
        </w:rPr>
        <w:t>Educational technologies that afford</w:t>
      </w:r>
      <w:r w:rsidR="007E1840">
        <w:rPr>
          <w:lang w:val="en-GB"/>
        </w:rPr>
        <w:t xml:space="preserve"> </w:t>
      </w:r>
      <w:r w:rsidR="007E1840" w:rsidRPr="007E1840">
        <w:rPr>
          <w:lang w:val="en-GB"/>
        </w:rPr>
        <w:t>students a virtual environment have the potential to scaffold and support teaching and</w:t>
      </w:r>
      <w:r w:rsidR="007E1840">
        <w:rPr>
          <w:lang w:val="en-GB"/>
        </w:rPr>
        <w:t xml:space="preserve"> </w:t>
      </w:r>
      <w:r w:rsidR="007E1840" w:rsidRPr="007E1840">
        <w:rPr>
          <w:lang w:val="en-GB"/>
        </w:rPr>
        <w:t xml:space="preserve">learning </w:t>
      </w:r>
      <w:r w:rsidR="00207FE5">
        <w:rPr>
          <w:lang w:val="en-GB"/>
        </w:rPr>
        <w:fldChar w:fldCharType="begin" w:fldLock="1"/>
      </w:r>
      <w:r w:rsidR="00207FE5">
        <w:rPr>
          <w:lang w:val="en-GB"/>
        </w:rPr>
        <w:instrText>ADDIN CSL_CITATION {"citationItems":[{"id":"ITEM-1","itemData":{"DOI":"10.1080/03057267.2014.984506","ISSN":"19408412","abstract":"Dynamic visualisations capture aspects of scientific phenomena that are difficult to communicate in static materials and benefit from well-designed scaffolds to succeed in classrooms. We review research to clarify the impacts of dynamic visualisations and to identify instructional scaffolds that mediate their success. We use meta-analysis to synthesise 47 independent comparisons between dynamic and static materials and 76 comparisons that test the effect of specific instructional scaffolds. These studies show that dynamic visualisations are better than static visuals at promoting conceptual inferences about science, consistent with the success of inquiry instruction in science. To realise this potential of dynamic visualisations, instruction needs to help students use the dynamic visualisation to make sense of their own ideas. Scaffolds that are most successful include prompts for reflection, prompts to distinguish among parts of the visualisation, visual cues that identify salient features, multiple visualisations presented sequentially, and interactive features that govern the pacing of activities. We extract guidelines from this research to help researchers plan future studies of visualisations, designers create and refine instructional materials using visualisations, and practitioners customise instruction that features visualisations.","author":[{"dropping-particle":"","family":"McElhaney","given":"Kevin W.","non-dropping-particle":"","parse-names":false,"suffix":""},{"dropping-particle":"","family":"Chang","given":"Hsin Yi","non-dropping-particle":"","parse-names":false,"suffix":""},{"dropping-particle":"","family":"Chiu","given":"Jennifer L.","non-dropping-particle":"","parse-names":false,"suffix":""},{"dropping-particle":"","family":"Linn","given":"Marcia C.","non-dropping-particle":"","parse-names":false,"suffix":""}],"container-title":"Studies in Science Education","id":"ITEM-1","issue":"1","issued":{"date-parts":[["2015"]]},"page":"49-85","title":"Evidence for effective uses of dynamic visualisations in science curriculum materials","type":"article-journal","volume":"51"},"uris":["http://www.mendeley.com/documents/?uuid=ea7689fc-60eb-4f8e-807f-a0ab9f96937b"]}],"mendeley":{"formattedCitation":"[13]","plainTextFormattedCitation":"[13]"},"properties":{"noteIndex":0},"schema":"https://github.com/citation-style-language/schema/raw/master/csl-citation.json"}</w:instrText>
      </w:r>
      <w:r w:rsidR="00207FE5">
        <w:rPr>
          <w:lang w:val="en-GB"/>
        </w:rPr>
        <w:fldChar w:fldCharType="separate"/>
      </w:r>
      <w:r w:rsidR="00207FE5" w:rsidRPr="00207FE5">
        <w:rPr>
          <w:noProof/>
          <w:lang w:val="en-GB"/>
        </w:rPr>
        <w:t>[13]</w:t>
      </w:r>
      <w:r w:rsidR="00207FE5">
        <w:rPr>
          <w:lang w:val="en-GB"/>
        </w:rPr>
        <w:fldChar w:fldCharType="end"/>
      </w:r>
      <w:r w:rsidR="00207FE5">
        <w:rPr>
          <w:lang w:val="en-GB"/>
        </w:rPr>
        <w:t>.</w:t>
      </w:r>
    </w:p>
    <w:p w14:paraId="0AC29ABF" w14:textId="3C7DE55E" w:rsidR="009F3761" w:rsidRPr="00884121" w:rsidRDefault="00C95346" w:rsidP="007E1840">
      <w:pPr>
        <w:pStyle w:val="BodytextIndented"/>
        <w:rPr>
          <w:lang w:val="en-GB"/>
        </w:rPr>
      </w:pPr>
      <w:r>
        <w:rPr>
          <w:lang w:val="en-GB"/>
        </w:rPr>
        <w:t xml:space="preserve">This research </w:t>
      </w:r>
      <w:r w:rsidR="00634790" w:rsidRPr="007E1840">
        <w:rPr>
          <w:rFonts w:ascii="TimesNewRomanPSMT" w:hAnsi="TimesNewRomanPSMT"/>
          <w:iCs w:val="0"/>
          <w:lang w:val="en-GB"/>
        </w:rPr>
        <w:t>provides</w:t>
      </w:r>
      <w:r>
        <w:rPr>
          <w:lang w:val="en-GB"/>
        </w:rPr>
        <w:t xml:space="preserve"> </w:t>
      </w:r>
      <w:r w:rsidR="00634790">
        <w:rPr>
          <w:lang w:val="en-GB"/>
        </w:rPr>
        <w:t xml:space="preserve">evidence of the implementation of </w:t>
      </w:r>
      <w:r>
        <w:rPr>
          <w:lang w:val="en-GB"/>
        </w:rPr>
        <w:t>alternative media</w:t>
      </w:r>
      <w:r w:rsidR="00634790">
        <w:rPr>
          <w:lang w:val="en-GB"/>
        </w:rPr>
        <w:t xml:space="preserve"> name </w:t>
      </w:r>
      <w:proofErr w:type="spellStart"/>
      <w:r w:rsidR="00634790" w:rsidRPr="00634790">
        <w:rPr>
          <w:i/>
          <w:iCs w:val="0"/>
          <w:lang w:val="en-GB"/>
        </w:rPr>
        <w:t>PhET</w:t>
      </w:r>
      <w:proofErr w:type="spellEnd"/>
      <w:r w:rsidR="00634790" w:rsidRPr="00634790">
        <w:rPr>
          <w:i/>
          <w:iCs w:val="0"/>
          <w:lang w:val="en-GB"/>
        </w:rPr>
        <w:t xml:space="preserve"> Interactive Simulation</w:t>
      </w:r>
      <w:r>
        <w:rPr>
          <w:lang w:val="en-GB"/>
        </w:rPr>
        <w:t xml:space="preserve"> to help students understand mathematics concepts, especially in understanding fractions</w:t>
      </w:r>
      <w:r w:rsidR="00634790">
        <w:rPr>
          <w:lang w:val="en-GB"/>
        </w:rPr>
        <w:t xml:space="preserve">. </w:t>
      </w:r>
      <w:r w:rsidR="007E1840">
        <w:rPr>
          <w:lang w:val="en-GB"/>
        </w:rPr>
        <w:t xml:space="preserve">The findings of our study proved that </w:t>
      </w:r>
      <w:proofErr w:type="spellStart"/>
      <w:r w:rsidR="007E1840" w:rsidRPr="00884121">
        <w:rPr>
          <w:i/>
          <w:iCs w:val="0"/>
          <w:lang w:val="en-GB"/>
        </w:rPr>
        <w:t>PhET</w:t>
      </w:r>
      <w:proofErr w:type="spellEnd"/>
      <w:r w:rsidR="007E1840" w:rsidRPr="00884121">
        <w:rPr>
          <w:i/>
          <w:iCs w:val="0"/>
          <w:lang w:val="en-GB"/>
        </w:rPr>
        <w:t xml:space="preserve"> Interactive Simulation</w:t>
      </w:r>
      <w:r w:rsidR="007E1840">
        <w:rPr>
          <w:i/>
          <w:iCs w:val="0"/>
          <w:lang w:val="en-GB"/>
        </w:rPr>
        <w:t xml:space="preserve"> </w:t>
      </w:r>
      <w:r w:rsidR="007E1840">
        <w:rPr>
          <w:lang w:val="en-GB"/>
        </w:rPr>
        <w:t xml:space="preserve">has significantly enhanced students’ mathematical understanding of fractions. </w:t>
      </w:r>
      <w:r w:rsidR="00884121">
        <w:rPr>
          <w:lang w:val="en-GB"/>
        </w:rPr>
        <w:t xml:space="preserve">This is in accordance with the previous research conducted by </w:t>
      </w:r>
      <w:r w:rsidR="00884121">
        <w:rPr>
          <w:lang w:val="en-GB"/>
        </w:rPr>
        <w:fldChar w:fldCharType="begin" w:fldLock="1"/>
      </w:r>
      <w:r w:rsidR="00207FE5">
        <w:rPr>
          <w:lang w:val="en-GB"/>
        </w:rPr>
        <w:instrText>ADDIN CSL_CITATION {"citationItems":[{"id":"ITEM-1","itemData":{"DOI":"10.1080/18117295.2020.1818042","ISSN":"18117295","abstract":"Effective teaching of physics requires the use of well-designed and diversified instructional tools such as multimedia throughout the teaching and learning process. The main objective of this study was to investigate the effectiveness of Physics Educational Technology (PhET) simulations and YouTube videos to improve the learning of optics in Rwandan secondary schools. The study was framed by the cognitive theory of multimedia learning. A total of 136 senior-4 physics students from six schools were divided among three groups and taught with the usual teaching methods only, the usual teaching methods supported by PhET simulations or YouTube videos, respectively. Student achievement was measured by administering the Geometric Optics Conceptual Understanding Test to each group of students before and after teaching. The groups of students who were taught using PhET simulations and YouTube videos achieved significantly more gains on the posttest compared with the students who experienced neither. PhET simulations and YouTube videos saw average normalised learning gains of 12 and 11%, respectively, while students who experienced solely the usual teaching methods got a gain of only 2%. These results show that the use of PhET simulations without student manipulation (as applied in this study) is equally effective as the use of YouTube videos. The researchers recommend that teachers incorporate these instructional tools as a way of effectively teaching and learning optics.","author":[{"dropping-particle":"","family":"Ndihokubwayo","given":"Kizito","non-dropping-particle":"","parse-names":false,"suffix":""},{"dropping-particle":"","family":"Uwamahoro","given":"Jean","non-dropping-particle":"","parse-names":false,"suffix":""},{"dropping-particle":"","family":"Ndayambaje","given":"Irénée","non-dropping-particle":"","parse-names":false,"suffix":""}],"container-title":"African Journal of Research in Mathematics, Science and Technology Education","id":"ITEM-1","issue":"0","issued":{"date-parts":[["2020"]]},"page":"1-13","publisher":"Taylor &amp; Francis","title":"Effectiveness of PhET Simulations and YouTube Videos to Improve the Learning of Optics in Rwandan Secondary Schools","type":"article-journal","volume":"0"},"uris":["http://www.mendeley.com/documents/?uuid=6aebdc15-6e4f-4de0-bee6-ffc8715a492d"]}],"mendeley":{"formattedCitation":"[14]","plainTextFormattedCitation":"[14]","previouslyFormattedCitation":"[13]"},"properties":{"noteIndex":0},"schema":"https://github.com/citation-style-language/schema/raw/master/csl-citation.json"}</w:instrText>
      </w:r>
      <w:r w:rsidR="00884121">
        <w:rPr>
          <w:lang w:val="en-GB"/>
        </w:rPr>
        <w:fldChar w:fldCharType="separate"/>
      </w:r>
      <w:r w:rsidR="00207FE5" w:rsidRPr="00207FE5">
        <w:rPr>
          <w:noProof/>
          <w:lang w:val="en-GB"/>
        </w:rPr>
        <w:t>[14]</w:t>
      </w:r>
      <w:r w:rsidR="00884121">
        <w:rPr>
          <w:lang w:val="en-GB"/>
        </w:rPr>
        <w:fldChar w:fldCharType="end"/>
      </w:r>
      <w:r w:rsidR="00884121">
        <w:rPr>
          <w:lang w:val="en-GB"/>
        </w:rPr>
        <w:t xml:space="preserve"> proved that students that learn mathematics using </w:t>
      </w:r>
      <w:proofErr w:type="spellStart"/>
      <w:r w:rsidR="00884121" w:rsidRPr="00634790">
        <w:rPr>
          <w:i/>
          <w:iCs w:val="0"/>
          <w:lang w:val="en-GB"/>
        </w:rPr>
        <w:t>PhET</w:t>
      </w:r>
      <w:proofErr w:type="spellEnd"/>
      <w:r w:rsidR="00884121" w:rsidRPr="00634790">
        <w:rPr>
          <w:i/>
          <w:iCs w:val="0"/>
          <w:lang w:val="en-GB"/>
        </w:rPr>
        <w:t xml:space="preserve"> Interactive Simulation</w:t>
      </w:r>
      <w:r w:rsidR="00884121">
        <w:rPr>
          <w:i/>
          <w:iCs w:val="0"/>
          <w:lang w:val="en-GB"/>
        </w:rPr>
        <w:t xml:space="preserve"> </w:t>
      </w:r>
      <w:r w:rsidR="00884121">
        <w:rPr>
          <w:lang w:val="en-GB"/>
        </w:rPr>
        <w:t xml:space="preserve">significantly enhance students’ performance. The use of interactive simulation also could give students more deep conceptual understanding. </w:t>
      </w:r>
    </w:p>
    <w:p w14:paraId="45F683EF" w14:textId="26056C33" w:rsidR="009D53B7" w:rsidRPr="00DF0BEE" w:rsidRDefault="009D53B7" w:rsidP="009D53B7">
      <w:pPr>
        <w:pStyle w:val="Section"/>
        <w:rPr>
          <w:rFonts w:ascii="Times New Roman" w:hAnsi="Times New Roman"/>
        </w:rPr>
      </w:pPr>
      <w:r w:rsidRPr="00DF0BEE">
        <w:rPr>
          <w:rFonts w:ascii="Times New Roman" w:hAnsi="Times New Roman"/>
        </w:rPr>
        <w:t xml:space="preserve">Conclusion </w:t>
      </w:r>
    </w:p>
    <w:p w14:paraId="138CB067" w14:textId="289B5BDE" w:rsidR="009D53B7" w:rsidRPr="00DF0BEE" w:rsidRDefault="00D0065D" w:rsidP="009D53B7">
      <w:pPr>
        <w:pStyle w:val="Bodytext"/>
        <w:rPr>
          <w:rFonts w:ascii="Times New Roman" w:hAnsi="Times New Roman"/>
          <w:lang w:val="en-GB"/>
        </w:rPr>
      </w:pPr>
      <w:r w:rsidRPr="00D0065D">
        <w:rPr>
          <w:rFonts w:ascii="TimesNewRomanPSMT" w:hAnsi="TimesNewRomanPSMT"/>
          <w:iCs w:val="0"/>
          <w:lang w:val="en-GB"/>
        </w:rPr>
        <w:t xml:space="preserve">According to the findings and the discussion mentioned earlier, there </w:t>
      </w:r>
      <w:r>
        <w:rPr>
          <w:rFonts w:ascii="TimesNewRomanPSMT" w:hAnsi="TimesNewRomanPSMT"/>
          <w:iCs w:val="0"/>
          <w:lang w:val="en-GB"/>
        </w:rPr>
        <w:t xml:space="preserve">are </w:t>
      </w:r>
      <w:r w:rsidRPr="00D0065D">
        <w:rPr>
          <w:rFonts w:ascii="TimesNewRomanPSMT" w:hAnsi="TimesNewRomanPSMT"/>
          <w:iCs w:val="0"/>
          <w:lang w:val="en-GB"/>
        </w:rPr>
        <w:t>some conclusions related to</w:t>
      </w:r>
      <w:r w:rsidRPr="00D0065D">
        <w:rPr>
          <w:rFonts w:ascii="TimesNewRomanPSMT" w:hAnsi="TimesNewRomanPSMT"/>
          <w:iCs w:val="0"/>
          <w:lang w:val="en-GB"/>
        </w:rPr>
        <w:br/>
        <w:t xml:space="preserve">this study. The </w:t>
      </w:r>
      <w:proofErr w:type="spellStart"/>
      <w:r>
        <w:rPr>
          <w:rFonts w:ascii="TimesNewRomanPSMT" w:hAnsi="TimesNewRomanPSMT"/>
          <w:iCs w:val="0"/>
          <w:lang w:val="en-GB"/>
        </w:rPr>
        <w:t>PhET</w:t>
      </w:r>
      <w:proofErr w:type="spellEnd"/>
      <w:r>
        <w:rPr>
          <w:rFonts w:ascii="TimesNewRomanPSMT" w:hAnsi="TimesNewRomanPSMT"/>
          <w:iCs w:val="0"/>
          <w:lang w:val="en-GB"/>
        </w:rPr>
        <w:t xml:space="preserve"> interactive simulation</w:t>
      </w:r>
      <w:r w:rsidRPr="00D0065D">
        <w:rPr>
          <w:rFonts w:ascii="TimesNewRomanPSMT" w:hAnsi="TimesNewRomanPSMT"/>
          <w:iCs w:val="0"/>
          <w:lang w:val="en-GB"/>
        </w:rPr>
        <w:t xml:space="preserve"> was proved that have a significant effect on the SMU </w:t>
      </w:r>
      <w:r>
        <w:rPr>
          <w:rFonts w:ascii="TimesNewRomanPSMT" w:hAnsi="TimesNewRomanPSMT"/>
          <w:iCs w:val="0"/>
          <w:lang w:val="en-GB"/>
        </w:rPr>
        <w:t>on learning fraction</w:t>
      </w:r>
      <w:r w:rsidRPr="00D0065D">
        <w:rPr>
          <w:rFonts w:ascii="TimesNewRomanPSMT" w:hAnsi="TimesNewRomanPSMT"/>
          <w:iCs w:val="0"/>
          <w:lang w:val="en-GB"/>
        </w:rPr>
        <w:t>.</w:t>
      </w:r>
      <w:r>
        <w:rPr>
          <w:rFonts w:ascii="TimesNewRomanPSMT" w:hAnsi="TimesNewRomanPSMT"/>
          <w:iCs w:val="0"/>
          <w:lang w:val="en-GB"/>
        </w:rPr>
        <w:t xml:space="preserve"> </w:t>
      </w:r>
      <w:r w:rsidRPr="00D0065D">
        <w:rPr>
          <w:rFonts w:ascii="TimesNewRomanPSMT" w:hAnsi="TimesNewRomanPSMT"/>
          <w:iCs w:val="0"/>
          <w:lang w:val="en-GB"/>
        </w:rPr>
        <w:t xml:space="preserve">The </w:t>
      </w:r>
      <w:proofErr w:type="spellStart"/>
      <w:r>
        <w:rPr>
          <w:rFonts w:ascii="TimesNewRomanPSMT" w:hAnsi="TimesNewRomanPSMT"/>
          <w:iCs w:val="0"/>
          <w:lang w:val="en-GB"/>
        </w:rPr>
        <w:t>PhET</w:t>
      </w:r>
      <w:proofErr w:type="spellEnd"/>
      <w:r>
        <w:rPr>
          <w:rFonts w:ascii="TimesNewRomanPSMT" w:hAnsi="TimesNewRomanPSMT"/>
          <w:iCs w:val="0"/>
          <w:lang w:val="en-GB"/>
        </w:rPr>
        <w:t xml:space="preserve"> interactive simulation media</w:t>
      </w:r>
      <w:r w:rsidRPr="00D0065D">
        <w:rPr>
          <w:rFonts w:ascii="TimesNewRomanPSMT" w:hAnsi="TimesNewRomanPSMT"/>
          <w:iCs w:val="0"/>
          <w:lang w:val="en-GB"/>
        </w:rPr>
        <w:t xml:space="preserve"> was influential in developing SMU. Therefore, the </w:t>
      </w:r>
      <w:proofErr w:type="spellStart"/>
      <w:r w:rsidR="002D0FC7">
        <w:rPr>
          <w:rFonts w:ascii="TimesNewRomanPSMT" w:hAnsi="TimesNewRomanPSMT"/>
          <w:iCs w:val="0"/>
          <w:lang w:val="en-GB"/>
        </w:rPr>
        <w:t>PhET</w:t>
      </w:r>
      <w:proofErr w:type="spellEnd"/>
      <w:r w:rsidR="002D0FC7">
        <w:rPr>
          <w:rFonts w:ascii="TimesNewRomanPSMT" w:hAnsi="TimesNewRomanPSMT"/>
          <w:iCs w:val="0"/>
          <w:lang w:val="en-GB"/>
        </w:rPr>
        <w:t xml:space="preserve"> interactive simulation</w:t>
      </w:r>
      <w:r w:rsidRPr="00D0065D">
        <w:rPr>
          <w:rFonts w:ascii="TimesNewRomanPSMT" w:hAnsi="TimesNewRomanPSMT"/>
          <w:iCs w:val="0"/>
          <w:lang w:val="en-GB"/>
        </w:rPr>
        <w:t xml:space="preserve"> is decent to implement by mathematics educators as an alternative learning </w:t>
      </w:r>
      <w:r w:rsidR="002D0FC7">
        <w:rPr>
          <w:rFonts w:ascii="TimesNewRomanPSMT" w:hAnsi="TimesNewRomanPSMT"/>
          <w:iCs w:val="0"/>
          <w:lang w:val="en-GB"/>
        </w:rPr>
        <w:t>media</w:t>
      </w:r>
      <w:r w:rsidRPr="00D0065D">
        <w:rPr>
          <w:rFonts w:ascii="TimesNewRomanPSMT" w:hAnsi="TimesNewRomanPSMT"/>
          <w:iCs w:val="0"/>
          <w:lang w:val="en-GB"/>
        </w:rPr>
        <w:t xml:space="preserve"> in</w:t>
      </w:r>
      <w:r w:rsidR="002D0FC7">
        <w:rPr>
          <w:rFonts w:ascii="TimesNewRomanPSMT" w:hAnsi="TimesNewRomanPSMT"/>
          <w:iCs w:val="0"/>
          <w:lang w:val="en-GB"/>
        </w:rPr>
        <w:t xml:space="preserve"> </w:t>
      </w:r>
      <w:r w:rsidRPr="00D0065D">
        <w:rPr>
          <w:rFonts w:ascii="TimesNewRomanPSMT" w:hAnsi="TimesNewRomanPSMT"/>
          <w:iCs w:val="0"/>
          <w:lang w:val="en-GB"/>
        </w:rPr>
        <w:t xml:space="preserve">teaching mathematics. </w:t>
      </w:r>
    </w:p>
    <w:p w14:paraId="4D30A180" w14:textId="3CE40A55" w:rsidR="009A0487" w:rsidRDefault="009A0487">
      <w:pPr>
        <w:pStyle w:val="Sectionnonumber"/>
        <w:rPr>
          <w:rFonts w:ascii="Times New Roman" w:hAnsi="Times New Roman"/>
        </w:rPr>
      </w:pPr>
      <w:r w:rsidRPr="00DF0BEE">
        <w:rPr>
          <w:rFonts w:ascii="Times New Roman" w:hAnsi="Times New Roman"/>
        </w:rPr>
        <w:t>References</w:t>
      </w:r>
    </w:p>
    <w:p w14:paraId="5C59F050" w14:textId="1C3909DC" w:rsidR="00207FE5" w:rsidRPr="00207FE5" w:rsidRDefault="00884121" w:rsidP="00207FE5">
      <w:pPr>
        <w:widowControl w:val="0"/>
        <w:autoSpaceDE w:val="0"/>
        <w:autoSpaceDN w:val="0"/>
        <w:adjustRightInd w:val="0"/>
        <w:ind w:left="640" w:hanging="640"/>
        <w:rPr>
          <w:rFonts w:cs="Times"/>
          <w:noProof/>
          <w:szCs w:val="24"/>
        </w:rPr>
      </w:pPr>
      <w:r>
        <w:fldChar w:fldCharType="begin" w:fldLock="1"/>
      </w:r>
      <w:r>
        <w:instrText xml:space="preserve">ADDIN Mendeley Bibliography CSL_BIBLIOGRAPHY </w:instrText>
      </w:r>
      <w:r>
        <w:fldChar w:fldCharType="separate"/>
      </w:r>
      <w:r w:rsidR="00207FE5" w:rsidRPr="00207FE5">
        <w:rPr>
          <w:rFonts w:cs="Times"/>
          <w:noProof/>
          <w:szCs w:val="24"/>
        </w:rPr>
        <w:t>[1]</w:t>
      </w:r>
      <w:r w:rsidR="00207FE5" w:rsidRPr="00207FE5">
        <w:rPr>
          <w:rFonts w:cs="Times"/>
          <w:noProof/>
          <w:szCs w:val="24"/>
        </w:rPr>
        <w:tab/>
        <w:t xml:space="preserve">H. Song, J. Wu, and T. Zhi, “Online Teaching for Elementary and Secondary Schools During COVID-19,” </w:t>
      </w:r>
      <w:r w:rsidR="00207FE5" w:rsidRPr="00207FE5">
        <w:rPr>
          <w:rFonts w:cs="Times"/>
          <w:i/>
          <w:iCs/>
          <w:noProof/>
          <w:szCs w:val="24"/>
        </w:rPr>
        <w:t>ECNU Rev. Educ.</w:t>
      </w:r>
      <w:r w:rsidR="00207FE5" w:rsidRPr="00207FE5">
        <w:rPr>
          <w:rFonts w:cs="Times"/>
          <w:noProof/>
          <w:szCs w:val="24"/>
        </w:rPr>
        <w:t>, vol. 3, no. 4, pp. 745–754, 2020, doi: 10.1177/2096531120930021.</w:t>
      </w:r>
    </w:p>
    <w:p w14:paraId="01651691"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[2]</w:t>
      </w:r>
      <w:r w:rsidRPr="00207FE5">
        <w:rPr>
          <w:rFonts w:cs="Times"/>
          <w:noProof/>
          <w:szCs w:val="24"/>
        </w:rPr>
        <w:tab/>
        <w:t xml:space="preserve">Mailizar, A. Almanthari, S. Maulina, and S. Bruce, “Secondary school mathematics teachers’ views on e-learning implementation barriers during the COVID-19 pandemic: The case of Indonesia,” </w:t>
      </w:r>
      <w:r w:rsidRPr="00207FE5">
        <w:rPr>
          <w:rFonts w:cs="Times"/>
          <w:i/>
          <w:iCs/>
          <w:noProof/>
          <w:szCs w:val="24"/>
        </w:rPr>
        <w:t>Eurasia J. Math. Sci. Technol. Educ.</w:t>
      </w:r>
      <w:r w:rsidRPr="00207FE5">
        <w:rPr>
          <w:rFonts w:cs="Times"/>
          <w:noProof/>
          <w:szCs w:val="24"/>
        </w:rPr>
        <w:t>, vol. 16, no. 7, 2020, doi: 10.29333/EJMSTE/8240.</w:t>
      </w:r>
    </w:p>
    <w:p w14:paraId="1E1F6290"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[3]</w:t>
      </w:r>
      <w:r w:rsidRPr="00207FE5">
        <w:rPr>
          <w:rFonts w:cs="Times"/>
          <w:noProof/>
          <w:szCs w:val="24"/>
        </w:rPr>
        <w:tab/>
        <w:t xml:space="preserve">P. A. Kirschner, J. Sweller, and R. E. Clark, “Why minimal guidance during instruction does </w:t>
      </w:r>
      <w:r w:rsidRPr="00207FE5">
        <w:rPr>
          <w:rFonts w:cs="Times"/>
          <w:noProof/>
          <w:szCs w:val="24"/>
        </w:rPr>
        <w:lastRenderedPageBreak/>
        <w:t xml:space="preserve">not work: An analysis of the failure of constructivist, discovery, problem-based, experiential, and inquiry-based teaching,” </w:t>
      </w:r>
      <w:r w:rsidRPr="00207FE5">
        <w:rPr>
          <w:rFonts w:cs="Times"/>
          <w:i/>
          <w:iCs/>
          <w:noProof/>
          <w:szCs w:val="24"/>
        </w:rPr>
        <w:t>Educ. Psychol.</w:t>
      </w:r>
      <w:r w:rsidRPr="00207FE5">
        <w:rPr>
          <w:rFonts w:cs="Times"/>
          <w:noProof/>
          <w:szCs w:val="24"/>
        </w:rPr>
        <w:t>, vol. 41, no. 2, pp. 75–86, 2006, doi: 10.1207/s15326985ep4102_1.</w:t>
      </w:r>
    </w:p>
    <w:p w14:paraId="3514F665"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[4]</w:t>
      </w:r>
      <w:r w:rsidRPr="00207FE5">
        <w:rPr>
          <w:rFonts w:cs="Times"/>
          <w:noProof/>
          <w:szCs w:val="24"/>
        </w:rPr>
        <w:tab/>
        <w:t xml:space="preserve">D. L. Schwartz and T. Martin, “Inventing to prepare for future learning: The hidden efficiency of encouraging original student production in statistics instruction,” </w:t>
      </w:r>
      <w:r w:rsidRPr="00207FE5">
        <w:rPr>
          <w:rFonts w:cs="Times"/>
          <w:i/>
          <w:iCs/>
          <w:noProof/>
          <w:szCs w:val="24"/>
        </w:rPr>
        <w:t>Cogn. Instr.</w:t>
      </w:r>
      <w:r w:rsidRPr="00207FE5">
        <w:rPr>
          <w:rFonts w:cs="Times"/>
          <w:noProof/>
          <w:szCs w:val="24"/>
        </w:rPr>
        <w:t>, vol. 22, no. 2, pp. 129–184, 2004, doi: 10.1207/s1532690xci2202_1.</w:t>
      </w:r>
    </w:p>
    <w:p w14:paraId="003D5BFF"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[5]</w:t>
      </w:r>
      <w:r w:rsidRPr="00207FE5">
        <w:rPr>
          <w:rFonts w:cs="Times"/>
          <w:noProof/>
          <w:szCs w:val="24"/>
        </w:rPr>
        <w:tab/>
        <w:t xml:space="preserve">P. Sullivan </w:t>
      </w:r>
      <w:r w:rsidRPr="00207FE5">
        <w:rPr>
          <w:rFonts w:cs="Times"/>
          <w:i/>
          <w:iCs/>
          <w:noProof/>
          <w:szCs w:val="24"/>
        </w:rPr>
        <w:t>et al.</w:t>
      </w:r>
      <w:r w:rsidRPr="00207FE5">
        <w:rPr>
          <w:rFonts w:cs="Times"/>
          <w:noProof/>
          <w:szCs w:val="24"/>
        </w:rPr>
        <w:t xml:space="preserve">, “Threats and opportunities in remote learning of mathematics: implication for the return to the classroom,” </w:t>
      </w:r>
      <w:r w:rsidRPr="00207FE5">
        <w:rPr>
          <w:rFonts w:cs="Times"/>
          <w:i/>
          <w:iCs/>
          <w:noProof/>
          <w:szCs w:val="24"/>
        </w:rPr>
        <w:t>Math. Educ. Res. J.</w:t>
      </w:r>
      <w:r w:rsidRPr="00207FE5">
        <w:rPr>
          <w:rFonts w:cs="Times"/>
          <w:noProof/>
          <w:szCs w:val="24"/>
        </w:rPr>
        <w:t>, vol. 32, no. 3, pp. 551–559, 2020, doi: 10.1007/s13394-020-00339-6.</w:t>
      </w:r>
    </w:p>
    <w:p w14:paraId="4CFEF28E"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[6]</w:t>
      </w:r>
      <w:r w:rsidRPr="00207FE5">
        <w:rPr>
          <w:rFonts w:cs="Times"/>
          <w:noProof/>
          <w:szCs w:val="24"/>
        </w:rPr>
        <w:tab/>
        <w:t xml:space="preserve">G. G. Smith and D. Ferguson, “Student attrition in mathematics e-learning,” </w:t>
      </w:r>
      <w:r w:rsidRPr="00207FE5">
        <w:rPr>
          <w:rFonts w:cs="Times"/>
          <w:i/>
          <w:iCs/>
          <w:noProof/>
          <w:szCs w:val="24"/>
        </w:rPr>
        <w:t>Australas. J. Educ. Technol.</w:t>
      </w:r>
      <w:r w:rsidRPr="00207FE5">
        <w:rPr>
          <w:rFonts w:cs="Times"/>
          <w:noProof/>
          <w:szCs w:val="24"/>
        </w:rPr>
        <w:t>, vol. 21, no. 3, pp. 323–334, 2005, doi: 10.14742/ajet.1323.</w:t>
      </w:r>
    </w:p>
    <w:p w14:paraId="6BAC1A86"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[7]</w:t>
      </w:r>
      <w:r w:rsidRPr="00207FE5">
        <w:rPr>
          <w:rFonts w:cs="Times"/>
          <w:noProof/>
          <w:szCs w:val="24"/>
        </w:rPr>
        <w:tab/>
        <w:t xml:space="preserve">T. Wahyuningrum, A.S&amp;Latifah, “Investigating mathematical conversation in remote learning of mathematics during the covid-19 pandemic,” </w:t>
      </w:r>
      <w:r w:rsidRPr="00207FE5">
        <w:rPr>
          <w:rFonts w:cs="Times"/>
          <w:i/>
          <w:iCs/>
          <w:noProof/>
          <w:szCs w:val="24"/>
        </w:rPr>
        <w:t>J. Ris. Pendidik. Mat.</w:t>
      </w:r>
      <w:r w:rsidRPr="00207FE5">
        <w:rPr>
          <w:rFonts w:cs="Times"/>
          <w:noProof/>
          <w:szCs w:val="24"/>
        </w:rPr>
        <w:t>, vol. 7, no. 2, pp. 148–162, 2020, [Online]. Available: https://journal.uny.ac.id/index.php/jrpm/article/view/34841/14993.</w:t>
      </w:r>
    </w:p>
    <w:p w14:paraId="44826A8F"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[8]</w:t>
      </w:r>
      <w:r w:rsidRPr="00207FE5">
        <w:rPr>
          <w:rFonts w:cs="Times"/>
          <w:noProof/>
          <w:szCs w:val="24"/>
        </w:rPr>
        <w:tab/>
        <w:t xml:space="preserve">J. W. Kusuma and H. Hamidah, “Perbandingan Hasil Belajar Matematika Dengan Penggunaan Platform Whatsapp Group Dan Webinar Zoom Dalam Pembelajaran Jarak Jauh Pada Masa Pandemik Covid 19,” </w:t>
      </w:r>
      <w:r w:rsidRPr="00207FE5">
        <w:rPr>
          <w:rFonts w:cs="Times"/>
          <w:i/>
          <w:iCs/>
          <w:noProof/>
          <w:szCs w:val="24"/>
        </w:rPr>
        <w:t>JIPMat</w:t>
      </w:r>
      <w:r w:rsidRPr="00207FE5">
        <w:rPr>
          <w:rFonts w:cs="Times"/>
          <w:noProof/>
          <w:szCs w:val="24"/>
        </w:rPr>
        <w:t>, vol. 5, no. 1, 2020, doi: 10.26877/jipmat.v5i1.5942.</w:t>
      </w:r>
    </w:p>
    <w:p w14:paraId="5A3ECEBB"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[9]</w:t>
      </w:r>
      <w:r w:rsidRPr="00207FE5">
        <w:rPr>
          <w:rFonts w:cs="Times"/>
          <w:noProof/>
          <w:szCs w:val="24"/>
        </w:rPr>
        <w:tab/>
        <w:t xml:space="preserve">S. Dhawan, “Online Learning: A Panacea in the Time of COVID-19 Crisis,” </w:t>
      </w:r>
      <w:r w:rsidRPr="00207FE5">
        <w:rPr>
          <w:rFonts w:cs="Times"/>
          <w:i/>
          <w:iCs/>
          <w:noProof/>
          <w:szCs w:val="24"/>
        </w:rPr>
        <w:t>J. Educ. Technol. Syst.</w:t>
      </w:r>
      <w:r w:rsidRPr="00207FE5">
        <w:rPr>
          <w:rFonts w:cs="Times"/>
          <w:noProof/>
          <w:szCs w:val="24"/>
        </w:rPr>
        <w:t>, vol. 49, no. 1, pp. 5–22, 2020, doi: 10.1177/0047239520934018.</w:t>
      </w:r>
    </w:p>
    <w:p w14:paraId="368DD385"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[10]</w:t>
      </w:r>
      <w:r w:rsidRPr="00207FE5">
        <w:rPr>
          <w:rFonts w:cs="Times"/>
          <w:noProof/>
          <w:szCs w:val="24"/>
        </w:rPr>
        <w:tab/>
        <w:t xml:space="preserve">T. A. DeVaney, “Anxiety and attitude of graduate students in On-Campus vs. online statistics courses,” </w:t>
      </w:r>
      <w:r w:rsidRPr="00207FE5">
        <w:rPr>
          <w:rFonts w:cs="Times"/>
          <w:i/>
          <w:iCs/>
          <w:noProof/>
          <w:szCs w:val="24"/>
        </w:rPr>
        <w:t>J. Stat. Educ.</w:t>
      </w:r>
      <w:r w:rsidRPr="00207FE5">
        <w:rPr>
          <w:rFonts w:cs="Times"/>
          <w:noProof/>
          <w:szCs w:val="24"/>
        </w:rPr>
        <w:t>, vol. 18, no. 1, pp. 1–15, 2010, doi: 10.1080/10691898.2010.11889472.</w:t>
      </w:r>
    </w:p>
    <w:p w14:paraId="79F86B42"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[11]</w:t>
      </w:r>
      <w:r w:rsidRPr="00207FE5">
        <w:rPr>
          <w:rFonts w:cs="Times"/>
          <w:noProof/>
          <w:szCs w:val="24"/>
        </w:rPr>
        <w:tab/>
        <w:t xml:space="preserve">D. P. Wardani, S. Prabawanto, and T. Herman, “Analyze the correlation of hafiz qur ’ an and yaumiah worship toward the level of math anxiety,” </w:t>
      </w:r>
      <w:r w:rsidRPr="00207FE5">
        <w:rPr>
          <w:rFonts w:cs="Times"/>
          <w:i/>
          <w:iCs/>
          <w:noProof/>
          <w:szCs w:val="24"/>
        </w:rPr>
        <w:t>Int. Conf. Math. Sci. Educ. Promot. 21st Century Ski. Through Math. Sci. Educ.</w:t>
      </w:r>
      <w:r w:rsidRPr="00207FE5">
        <w:rPr>
          <w:rFonts w:cs="Times"/>
          <w:noProof/>
          <w:szCs w:val="24"/>
        </w:rPr>
        <w:t>, vol. 3, pp. 848–852, 2018.</w:t>
      </w:r>
    </w:p>
    <w:p w14:paraId="4A37A9EE"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[12]</w:t>
      </w:r>
      <w:r w:rsidRPr="00207FE5">
        <w:rPr>
          <w:rFonts w:cs="Times"/>
          <w:noProof/>
          <w:szCs w:val="24"/>
        </w:rPr>
        <w:tab/>
        <w:t xml:space="preserve">D. U. Bolliger and O. Wasilik, “Factors influencing faculty satisfaction with online teaching and learning in higher education,” </w:t>
      </w:r>
      <w:r w:rsidRPr="00207FE5">
        <w:rPr>
          <w:rFonts w:cs="Times"/>
          <w:i/>
          <w:iCs/>
          <w:noProof/>
          <w:szCs w:val="24"/>
        </w:rPr>
        <w:t>Distance Educ.</w:t>
      </w:r>
      <w:r w:rsidRPr="00207FE5">
        <w:rPr>
          <w:rFonts w:cs="Times"/>
          <w:noProof/>
          <w:szCs w:val="24"/>
        </w:rPr>
        <w:t>, vol. 30, no. 1, pp. 103–116, 2009, doi: 10.1080/01587910902845949.</w:t>
      </w:r>
    </w:p>
    <w:p w14:paraId="547ED91D" w14:textId="77777777" w:rsidR="00207FE5" w:rsidRPr="00207FE5" w:rsidRDefault="00207FE5" w:rsidP="00207FE5">
      <w:pPr>
        <w:widowControl w:val="0"/>
        <w:autoSpaceDE w:val="0"/>
        <w:autoSpaceDN w:val="0"/>
        <w:adjustRightInd w:val="0"/>
        <w:ind w:left="640" w:hanging="640"/>
        <w:rPr>
          <w:rFonts w:cs="Times"/>
          <w:noProof/>
          <w:szCs w:val="24"/>
        </w:rPr>
      </w:pPr>
      <w:r w:rsidRPr="00207FE5">
        <w:rPr>
          <w:rFonts w:cs="Times"/>
          <w:noProof/>
          <w:szCs w:val="24"/>
        </w:rPr>
        <w:t>[13]</w:t>
      </w:r>
      <w:r w:rsidRPr="00207FE5">
        <w:rPr>
          <w:rFonts w:cs="Times"/>
          <w:noProof/>
          <w:szCs w:val="24"/>
        </w:rPr>
        <w:tab/>
        <w:t xml:space="preserve">K. W. McElhaney, H. Y. Chang, J. L. Chiu, and M. C. Linn, “Evidence for effective uses of dynamic visualisations in science curriculum materials,” </w:t>
      </w:r>
      <w:r w:rsidRPr="00207FE5">
        <w:rPr>
          <w:rFonts w:cs="Times"/>
          <w:i/>
          <w:iCs/>
          <w:noProof/>
          <w:szCs w:val="24"/>
        </w:rPr>
        <w:t>Stud. Sci. Educ.</w:t>
      </w:r>
      <w:r w:rsidRPr="00207FE5">
        <w:rPr>
          <w:rFonts w:cs="Times"/>
          <w:noProof/>
          <w:szCs w:val="24"/>
        </w:rPr>
        <w:t>, vol. 51, no. 1, pp. 49–85, 2015, doi: 10.1080/03057267.2014.984506.</w:t>
      </w:r>
    </w:p>
    <w:p w14:paraId="215C1C95" w14:textId="77777777" w:rsidR="00207FE5" w:rsidRPr="00207FE5" w:rsidRDefault="00207FE5" w:rsidP="00207FE5">
      <w:pPr>
        <w:widowControl w:val="0"/>
        <w:autoSpaceDE w:val="0"/>
        <w:autoSpaceDN w:val="0"/>
        <w:adjustRightInd w:val="0"/>
        <w:ind w:left="640" w:hanging="640"/>
        <w:rPr>
          <w:rFonts w:cs="Times"/>
          <w:noProof/>
        </w:rPr>
      </w:pPr>
      <w:r w:rsidRPr="00207FE5">
        <w:rPr>
          <w:rFonts w:cs="Times"/>
          <w:noProof/>
          <w:szCs w:val="24"/>
        </w:rPr>
        <w:t>[14]</w:t>
      </w:r>
      <w:r w:rsidRPr="00207FE5">
        <w:rPr>
          <w:rFonts w:cs="Times"/>
          <w:noProof/>
          <w:szCs w:val="24"/>
        </w:rPr>
        <w:tab/>
        <w:t xml:space="preserve">K. Ndihokubwayo, J. Uwamahoro, and I. Ndayambaje, “Effectiveness of PhET Simulations and YouTube Videos to Improve the Learning of Optics in Rwandan Secondary Schools,” </w:t>
      </w:r>
      <w:r w:rsidRPr="00207FE5">
        <w:rPr>
          <w:rFonts w:cs="Times"/>
          <w:i/>
          <w:iCs/>
          <w:noProof/>
          <w:szCs w:val="24"/>
        </w:rPr>
        <w:t>African J. Res. Math. Sci. Technol. Educ.</w:t>
      </w:r>
      <w:r w:rsidRPr="00207FE5">
        <w:rPr>
          <w:rFonts w:cs="Times"/>
          <w:noProof/>
          <w:szCs w:val="24"/>
        </w:rPr>
        <w:t>, vol. 0, no. 0, pp. 1–13, 2020, doi: 10.1080/18117295.2020.1818042.</w:t>
      </w:r>
    </w:p>
    <w:p w14:paraId="136D44DC" w14:textId="00FA98EA" w:rsidR="00884121" w:rsidRPr="00884121" w:rsidRDefault="00884121" w:rsidP="00884121">
      <w:pPr>
        <w:pStyle w:val="Bodytext"/>
      </w:pPr>
      <w:r>
        <w:fldChar w:fldCharType="end"/>
      </w:r>
    </w:p>
    <w:p w14:paraId="2FE750B6" w14:textId="77777777" w:rsidR="006F45A4" w:rsidRPr="00DF0BEE" w:rsidRDefault="006F45A4">
      <w:pPr>
        <w:rPr>
          <w:rFonts w:ascii="Times New Roman" w:hAnsi="Times New Roman"/>
          <w:szCs w:val="22"/>
        </w:rPr>
      </w:pPr>
    </w:p>
    <w:sectPr w:rsidR="006F45A4" w:rsidRPr="00DF0BEE">
      <w:headerReference w:type="default" r:id="rId9"/>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FC128" w14:textId="77777777" w:rsidR="00893D25" w:rsidRDefault="00893D25">
      <w:r>
        <w:separator/>
      </w:r>
    </w:p>
  </w:endnote>
  <w:endnote w:type="continuationSeparator" w:id="0">
    <w:p w14:paraId="64DF3EF1" w14:textId="77777777" w:rsidR="00893D25" w:rsidRDefault="0089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abo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DA903" w14:textId="77777777" w:rsidR="00893D25" w:rsidRPr="00043761" w:rsidRDefault="00893D25">
      <w:pPr>
        <w:pStyle w:val="Bulleted"/>
        <w:numPr>
          <w:ilvl w:val="0"/>
          <w:numId w:val="0"/>
        </w:numPr>
        <w:rPr>
          <w:rFonts w:ascii="Sabon" w:hAnsi="Sabon"/>
          <w:color w:val="auto"/>
          <w:szCs w:val="20"/>
        </w:rPr>
      </w:pPr>
      <w:r>
        <w:separator/>
      </w:r>
    </w:p>
  </w:footnote>
  <w:footnote w:type="continuationSeparator" w:id="0">
    <w:p w14:paraId="2CA1D9E5" w14:textId="77777777" w:rsidR="00893D25" w:rsidRDefault="0089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AFDBB" w14:textId="77777777" w:rsidR="00634790" w:rsidRDefault="00634790"/>
  <w:p w14:paraId="0064D7EA" w14:textId="77777777" w:rsidR="00634790" w:rsidRDefault="00634790"/>
  <w:p w14:paraId="37BBCB7B" w14:textId="77777777" w:rsidR="00634790" w:rsidRDefault="00634790"/>
  <w:p w14:paraId="3A79EC40" w14:textId="77777777" w:rsidR="00634790" w:rsidRDefault="00634790"/>
  <w:p w14:paraId="72692ECF" w14:textId="77777777" w:rsidR="00634790" w:rsidRDefault="00634790"/>
  <w:p w14:paraId="4835BA0D" w14:textId="77777777" w:rsidR="00634790" w:rsidRDefault="006347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91C6A"/>
    <w:multiLevelType w:val="multilevel"/>
    <w:tmpl w:val="673A7A1C"/>
    <w:lvl w:ilvl="0">
      <w:start w:val="1"/>
      <w:numFmt w:val="decimal"/>
      <w:pStyle w:val="Section"/>
      <w:suff w:val="nothing"/>
      <w:lvlText w:val="%1.  "/>
      <w:lvlJc w:val="left"/>
      <w:pPr>
        <w:ind w:left="0" w:firstLine="0"/>
      </w:pPr>
      <w:rPr>
        <w:rFonts w:hint="default"/>
      </w:rPr>
    </w:lvl>
    <w:lvl w:ilvl="1">
      <w:start w:val="1"/>
      <w:numFmt w:val="decimal"/>
      <w:pStyle w:val="Subsection"/>
      <w:suff w:val="nothing"/>
      <w:lvlText w:val="%1.%2.  "/>
      <w:lvlJc w:val="left"/>
      <w:pPr>
        <w:ind w:left="0" w:firstLine="0"/>
      </w:pPr>
      <w:rPr>
        <w:rFonts w:hint="default"/>
      </w:rPr>
    </w:lvl>
    <w:lvl w:ilvl="2">
      <w:start w:val="1"/>
      <w:numFmt w:val="decimal"/>
      <w:pStyle w:val="Subsubsection"/>
      <w:suff w:val="nothing"/>
      <w:lvlText w:val="%1.%2.%3.  "/>
      <w:lvlJc w:val="left"/>
      <w:pPr>
        <w:ind w:left="0" w:firstLine="142"/>
      </w:pPr>
      <w:rPr>
        <w:rFonts w:hint="default"/>
        <w:i/>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B85171"/>
    <w:multiLevelType w:val="hybridMultilevel"/>
    <w:tmpl w:val="F8E87F92"/>
    <w:lvl w:ilvl="0" w:tplc="6F50F20E">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D9556E6"/>
    <w:multiLevelType w:val="hybridMultilevel"/>
    <w:tmpl w:val="8C54D8DC"/>
    <w:lvl w:ilvl="0" w:tplc="F7F88E22">
      <w:start w:val="1"/>
      <w:numFmt w:val="decimal"/>
      <w:pStyle w:val="Reference"/>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FCE5D00"/>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ID" w:vendorID="64" w:dllVersion="4096"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chicago"/>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BE4"/>
    <w:rsid w:val="00006EA6"/>
    <w:rsid w:val="00080BB0"/>
    <w:rsid w:val="000D3E03"/>
    <w:rsid w:val="00153665"/>
    <w:rsid w:val="00191EFD"/>
    <w:rsid w:val="00207FE5"/>
    <w:rsid w:val="0021192E"/>
    <w:rsid w:val="00217A99"/>
    <w:rsid w:val="002D0FC7"/>
    <w:rsid w:val="003252D5"/>
    <w:rsid w:val="00375446"/>
    <w:rsid w:val="00385880"/>
    <w:rsid w:val="00396E1D"/>
    <w:rsid w:val="00435BEB"/>
    <w:rsid w:val="00450111"/>
    <w:rsid w:val="004A70C9"/>
    <w:rsid w:val="005158FA"/>
    <w:rsid w:val="00531C2B"/>
    <w:rsid w:val="00541F3F"/>
    <w:rsid w:val="0058605B"/>
    <w:rsid w:val="005C5D81"/>
    <w:rsid w:val="00634790"/>
    <w:rsid w:val="0066077A"/>
    <w:rsid w:val="00677B25"/>
    <w:rsid w:val="006E3F2B"/>
    <w:rsid w:val="006F45A4"/>
    <w:rsid w:val="007047D8"/>
    <w:rsid w:val="00733CB3"/>
    <w:rsid w:val="007E1840"/>
    <w:rsid w:val="00802B56"/>
    <w:rsid w:val="0083655E"/>
    <w:rsid w:val="00843D23"/>
    <w:rsid w:val="00884121"/>
    <w:rsid w:val="00893D25"/>
    <w:rsid w:val="008E2C5F"/>
    <w:rsid w:val="009671B5"/>
    <w:rsid w:val="009A0487"/>
    <w:rsid w:val="009D53B7"/>
    <w:rsid w:val="009D6FFD"/>
    <w:rsid w:val="009F3761"/>
    <w:rsid w:val="00A93BAE"/>
    <w:rsid w:val="00AA4E0A"/>
    <w:rsid w:val="00B05982"/>
    <w:rsid w:val="00B31732"/>
    <w:rsid w:val="00B83F45"/>
    <w:rsid w:val="00C95346"/>
    <w:rsid w:val="00CC2D3A"/>
    <w:rsid w:val="00D0065D"/>
    <w:rsid w:val="00D645C2"/>
    <w:rsid w:val="00D73D59"/>
    <w:rsid w:val="00DF0BEE"/>
    <w:rsid w:val="00E526F6"/>
    <w:rsid w:val="00EB2734"/>
    <w:rsid w:val="00EF6BE4"/>
    <w:rsid w:val="00FB0AAA"/>
    <w:rsid w:val="00FD0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5EA5A"/>
  <w15:docId w15:val="{951D0A04-3367-4D1C-94C0-AD3A6569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hAnsi="Times"/>
      <w:sz w:val="22"/>
      <w:lang w:eastAsia="en-US"/>
    </w:rPr>
  </w:style>
  <w:style w:type="paragraph" w:styleId="Heading1">
    <w:name w:val="heading 1"/>
    <w:basedOn w:val="Normal"/>
    <w:next w:val="Normal"/>
    <w:qFormat/>
    <w:pPr>
      <w:keepNext/>
      <w:widowControl w:val="0"/>
      <w:numPr>
        <w:numId w:val="1"/>
      </w:numPr>
      <w:jc w:val="both"/>
      <w:outlineLvl w:val="0"/>
    </w:pPr>
    <w:rPr>
      <w:rFonts w:ascii="Times New Roman" w:eastAsia="SimSun" w:hAnsi="Times New Roman"/>
      <w:b/>
      <w:kern w:val="2"/>
      <w:sz w:val="24"/>
      <w:szCs w:val="24"/>
      <w:lang w:val="en-US" w:eastAsia="zh-CN"/>
    </w:rPr>
  </w:style>
  <w:style w:type="paragraph" w:styleId="Heading2">
    <w:name w:val="heading 2"/>
    <w:basedOn w:val="Subsection"/>
    <w:next w:val="Normal"/>
    <w:autoRedefine/>
    <w:qFormat/>
    <w:rsid w:val="00733CB3"/>
    <w:pPr>
      <w:outlineLvl w:val="1"/>
    </w:pPr>
    <w:rPr>
      <w:i/>
    </w:rPr>
  </w:style>
  <w:style w:type="paragraph" w:styleId="Heading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subsection">
    <w:name w:val="Subsubsection"/>
    <w:next w:val="Bodytext"/>
    <w:link w:val="SubsubsectionChar"/>
    <w:pPr>
      <w:numPr>
        <w:ilvl w:val="2"/>
        <w:numId w:val="3"/>
      </w:numPr>
      <w:spacing w:before="240"/>
      <w:ind w:firstLine="0"/>
    </w:pPr>
    <w:rPr>
      <w:rFonts w:ascii="Times" w:hAnsi="Times"/>
      <w:i/>
      <w:iCs/>
      <w:color w:val="000000"/>
      <w:sz w:val="22"/>
      <w:szCs w:val="22"/>
      <w:lang w:eastAsia="en-US"/>
    </w:rPr>
  </w:style>
  <w:style w:type="paragraph" w:customStyle="1" w:styleId="Bodytext">
    <w:name w:val="Bodytext"/>
    <w:next w:val="BodytextIndented"/>
    <w:pPr>
      <w:jc w:val="both"/>
    </w:pPr>
    <w:rPr>
      <w:rFonts w:ascii="Times" w:hAnsi="Times"/>
      <w:iCs/>
      <w:color w:val="000000"/>
      <w:sz w:val="22"/>
      <w:szCs w:val="22"/>
      <w:lang w:val="en-US" w:eastAsia="en-US"/>
    </w:rPr>
  </w:style>
  <w:style w:type="paragraph" w:customStyle="1" w:styleId="BodytextIndented">
    <w:name w:val="BodytextIndented"/>
    <w:basedOn w:val="Bodytext"/>
    <w:pPr>
      <w:ind w:firstLine="284"/>
    </w:pPr>
  </w:style>
  <w:style w:type="character" w:customStyle="1" w:styleId="SubsubsectionChar">
    <w:name w:val="Subsubsection Char"/>
    <w:link w:val="Subsubsection"/>
    <w:rPr>
      <w:rFonts w:ascii="Times" w:hAnsi="Times"/>
      <w:i/>
      <w:iCs/>
      <w:color w:val="000000"/>
      <w:sz w:val="22"/>
      <w:szCs w:val="22"/>
      <w:lang w:eastAsia="en-US"/>
    </w:rPr>
  </w:style>
  <w:style w:type="paragraph" w:customStyle="1" w:styleId="Section">
    <w:name w:val="Section"/>
    <w:next w:val="Bodytext"/>
    <w:pPr>
      <w:numPr>
        <w:numId w:val="3"/>
      </w:numPr>
      <w:spacing w:before="240"/>
    </w:pPr>
    <w:rPr>
      <w:rFonts w:ascii="Times" w:hAnsi="Times"/>
      <w:b/>
      <w:iCs/>
      <w:color w:val="000000"/>
      <w:sz w:val="22"/>
      <w:szCs w:val="22"/>
      <w:lang w:eastAsia="en-US"/>
    </w:rPr>
  </w:style>
  <w:style w:type="paragraph" w:styleId="FootnoteText">
    <w:name w:val="footnote text"/>
    <w:basedOn w:val="Normal"/>
    <w:semiHidden/>
    <w:rPr>
      <w:sz w:val="20"/>
    </w:rPr>
  </w:style>
  <w:style w:type="character" w:styleId="FootnoteReference">
    <w:name w:val="footnote reference"/>
    <w:semiHidden/>
    <w:rPr>
      <w:rFonts w:ascii="Times New Roman" w:hAnsi="Times New Roman"/>
      <w:sz w:val="22"/>
      <w:szCs w:val="22"/>
      <w:vertAlign w:val="superscript"/>
    </w:rPr>
  </w:style>
  <w:style w:type="paragraph" w:customStyle="1" w:styleId="Bulleted">
    <w:name w:val="Bulleted"/>
    <w:pPr>
      <w:numPr>
        <w:numId w:val="2"/>
      </w:numPr>
      <w:jc w:val="both"/>
    </w:pPr>
    <w:rPr>
      <w:rFonts w:ascii="Times" w:hAnsi="Times"/>
      <w:color w:val="000000"/>
      <w:sz w:val="22"/>
      <w:szCs w:val="22"/>
      <w:lang w:eastAsia="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customStyle="1" w:styleId="Subsection">
    <w:name w:val="Subsection"/>
    <w:next w:val="Bodytext"/>
    <w:pPr>
      <w:numPr>
        <w:ilvl w:val="1"/>
        <w:numId w:val="3"/>
      </w:numPr>
      <w:spacing w:before="240"/>
    </w:pPr>
    <w:rPr>
      <w:rFonts w:ascii="Times" w:hAnsi="Times"/>
      <w:iCs/>
      <w:color w:val="000000"/>
      <w:sz w:val="22"/>
      <w:szCs w:val="22"/>
      <w:lang w:eastAsia="en-US"/>
    </w:rPr>
  </w:style>
  <w:style w:type="paragraph" w:customStyle="1" w:styleId="E-mail">
    <w:name w:val="E-mail"/>
    <w:next w:val="Abstract"/>
    <w:pPr>
      <w:spacing w:after="240"/>
      <w:ind w:left="1418"/>
    </w:pPr>
    <w:rPr>
      <w:rFonts w:ascii="Times" w:hAnsi="Times"/>
      <w:noProof/>
      <w:sz w:val="22"/>
      <w:szCs w:val="22"/>
      <w:lang w:val="en-US" w:eastAsia="en-US"/>
    </w:rPr>
  </w:style>
  <w:style w:type="paragraph" w:customStyle="1" w:styleId="Abstract">
    <w:name w:val="Abstract"/>
    <w:next w:val="Section"/>
    <w:pPr>
      <w:spacing w:after="454"/>
      <w:ind w:left="1418"/>
      <w:jc w:val="both"/>
    </w:pPr>
    <w:rPr>
      <w:rFonts w:ascii="Times" w:hAnsi="Times"/>
      <w:color w:val="000000"/>
      <w:lang w:eastAsia="en-US"/>
    </w:rPr>
  </w:style>
  <w:style w:type="paragraph" w:customStyle="1" w:styleId="Sectionnonumber">
    <w:name w:val="Section (no number)"/>
    <w:next w:val="Bodytext"/>
    <w:pPr>
      <w:spacing w:before="240"/>
    </w:pPr>
    <w:rPr>
      <w:rFonts w:ascii="Times" w:hAnsi="Times"/>
      <w:b/>
      <w:iCs/>
      <w:color w:val="000000"/>
      <w:sz w:val="22"/>
      <w:szCs w:val="22"/>
      <w:lang w:val="en-US" w:eastAsia="en-US"/>
    </w:rPr>
  </w:style>
  <w:style w:type="character" w:styleId="PageNumber">
    <w:name w:val="page number"/>
    <w:basedOn w:val="DefaultParagraphFont"/>
    <w:semiHidden/>
  </w:style>
  <w:style w:type="paragraph" w:styleId="Title">
    <w:name w:val="Title"/>
    <w:basedOn w:val="Normal"/>
    <w:next w:val="Authors"/>
    <w:qFormat/>
    <w:pPr>
      <w:spacing w:before="1588" w:after="567"/>
    </w:pPr>
    <w:rPr>
      <w:b/>
      <w:sz w:val="34"/>
      <w:szCs w:val="34"/>
    </w:rPr>
  </w:style>
  <w:style w:type="paragraph" w:customStyle="1" w:styleId="Authors">
    <w:name w:val="Authors"/>
    <w:next w:val="Addresses"/>
    <w:pPr>
      <w:spacing w:after="113"/>
      <w:ind w:left="1418"/>
    </w:pPr>
    <w:rPr>
      <w:rFonts w:ascii="Times" w:hAnsi="Times"/>
      <w:b/>
      <w:sz w:val="22"/>
      <w:szCs w:val="22"/>
      <w:lang w:eastAsia="en-US"/>
    </w:rPr>
  </w:style>
  <w:style w:type="paragraph" w:customStyle="1" w:styleId="Addresses">
    <w:name w:val="Addresses"/>
    <w:next w:val="E-mail"/>
    <w:pPr>
      <w:spacing w:after="240"/>
      <w:ind w:left="1418"/>
    </w:pPr>
    <w:rPr>
      <w:rFonts w:ascii="Times" w:hAnsi="Times"/>
      <w:sz w:val="22"/>
      <w:szCs w:val="22"/>
      <w:lang w:eastAsia="en-US"/>
    </w:rPr>
  </w:style>
  <w:style w:type="paragraph" w:customStyle="1" w:styleId="FigureCaption">
    <w:name w:val="FigureCaption"/>
    <w:pPr>
      <w:spacing w:before="170"/>
      <w:ind w:left="28"/>
      <w:jc w:val="center"/>
    </w:pPr>
    <w:rPr>
      <w:rFonts w:ascii="Times" w:hAnsi="Times"/>
      <w:color w:val="000000"/>
      <w:sz w:val="22"/>
      <w:szCs w:val="22"/>
      <w:lang w:eastAsia="en-US"/>
    </w:rPr>
  </w:style>
  <w:style w:type="paragraph" w:customStyle="1" w:styleId="Referencenonumber">
    <w:name w:val="Reference (no number)"/>
    <w:basedOn w:val="Reference"/>
    <w:pPr>
      <w:numPr>
        <w:numId w:val="0"/>
      </w:numPr>
      <w:ind w:left="851" w:hanging="284"/>
    </w:pPr>
  </w:style>
  <w:style w:type="paragraph" w:customStyle="1" w:styleId="Reference">
    <w:name w:val="Reference"/>
    <w:pPr>
      <w:widowControl w:val="0"/>
      <w:numPr>
        <w:numId w:val="4"/>
      </w:numPr>
      <w:tabs>
        <w:tab w:val="clear" w:pos="0"/>
        <w:tab w:val="left" w:pos="567"/>
      </w:tabs>
      <w:ind w:left="851" w:hanging="851"/>
      <w:jc w:val="both"/>
    </w:pPr>
    <w:rPr>
      <w:rFonts w:ascii="Times" w:hAnsi="Times"/>
      <w:iCs/>
      <w:noProof/>
      <w:color w:val="000000"/>
      <w:sz w:val="22"/>
      <w:szCs w:val="22"/>
      <w:lang w:eastAsia="en-US"/>
    </w:rPr>
  </w:style>
  <w:style w:type="table" w:styleId="TableGrid">
    <w:name w:val="Table Grid"/>
    <w:basedOn w:val="TableNormal"/>
    <w:uiPriority w:val="59"/>
    <w:unhideWhenUsed/>
    <w:rsid w:val="00AA4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077A"/>
    <w:rPr>
      <w:color w:val="0000FF" w:themeColor="hyperlink"/>
      <w:u w:val="single"/>
    </w:rPr>
  </w:style>
  <w:style w:type="character" w:styleId="UnresolvedMention">
    <w:name w:val="Unresolved Mention"/>
    <w:basedOn w:val="DefaultParagraphFont"/>
    <w:uiPriority w:val="99"/>
    <w:semiHidden/>
    <w:unhideWhenUsed/>
    <w:rsid w:val="0066077A"/>
    <w:rPr>
      <w:color w:val="605E5C"/>
      <w:shd w:val="clear" w:color="auto" w:fill="E1DFDD"/>
    </w:rPr>
  </w:style>
  <w:style w:type="character" w:customStyle="1" w:styleId="fontstyle01">
    <w:name w:val="fontstyle01"/>
    <w:basedOn w:val="DefaultParagraphFont"/>
    <w:rsid w:val="00B31732"/>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080BB0"/>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lamet.arifin@uniku.ac.i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v\Downloads\WordGuidelines\JPCSA4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9C091-F326-4E50-985E-64F25D6A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JPCSA4Template</Template>
  <TotalTime>852</TotalTime>
  <Pages>5</Pages>
  <Words>6782</Words>
  <Characters>38664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45356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George Evans</dc:creator>
  <cp:keywords>open access, proceedings, template, fast, affordable, flexible</cp:keywords>
  <cp:lastModifiedBy>DELL</cp:lastModifiedBy>
  <cp:revision>22</cp:revision>
  <cp:lastPrinted>2005-02-25T09:52:00Z</cp:lastPrinted>
  <dcterms:created xsi:type="dcterms:W3CDTF">2015-09-02T08:53:00Z</dcterms:created>
  <dcterms:modified xsi:type="dcterms:W3CDTF">2022-02-14T05:56:00Z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7f89e355-f398-396d-a88e-bb1803938c6f</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8th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